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1FFE6" w14:textId="77777777" w:rsidR="006E3D0E" w:rsidRDefault="006E3D0E" w:rsidP="006E3D0E">
      <w:pPr>
        <w:contextualSpacing/>
        <w:jc w:val="center"/>
        <w:rPr>
          <w:rFonts w:ascii="Times New Roman" w:hAnsi="Times New Roman"/>
          <w:b/>
          <w:caps/>
          <w:sz w:val="32"/>
          <w:szCs w:val="32"/>
        </w:rPr>
      </w:pPr>
    </w:p>
    <w:p w14:paraId="33E31DE8" w14:textId="77777777"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14:paraId="2AFF10CB" w14:textId="77777777" w:rsidR="006E3D0E" w:rsidRPr="00CB408F" w:rsidRDefault="006E3D0E" w:rsidP="006E3D0E">
      <w:pPr>
        <w:contextualSpacing/>
        <w:jc w:val="center"/>
        <w:rPr>
          <w:sz w:val="32"/>
          <w:szCs w:val="32"/>
        </w:rPr>
      </w:pPr>
    </w:p>
    <w:p w14:paraId="1634087A" w14:textId="77777777" w:rsidR="006E3D0E" w:rsidRPr="00CB408F" w:rsidRDefault="006E3D0E" w:rsidP="006E3D0E">
      <w:pPr>
        <w:contextualSpacing/>
        <w:jc w:val="center"/>
        <w:rPr>
          <w:sz w:val="32"/>
          <w:szCs w:val="32"/>
        </w:rPr>
      </w:pPr>
    </w:p>
    <w:p w14:paraId="6535E3CB" w14:textId="77777777" w:rsidR="006E3D0E" w:rsidRPr="00CB408F" w:rsidRDefault="006E3D0E" w:rsidP="006E3D0E">
      <w:pPr>
        <w:contextualSpacing/>
        <w:jc w:val="center"/>
        <w:rPr>
          <w:sz w:val="32"/>
          <w:szCs w:val="32"/>
        </w:rPr>
      </w:pPr>
    </w:p>
    <w:p w14:paraId="5F70DAC8" w14:textId="77777777" w:rsidR="006E3D0E" w:rsidRPr="00CB408F" w:rsidRDefault="006E3D0E" w:rsidP="006E3D0E">
      <w:pPr>
        <w:contextualSpacing/>
        <w:jc w:val="center"/>
        <w:rPr>
          <w:sz w:val="32"/>
          <w:szCs w:val="32"/>
        </w:rPr>
      </w:pPr>
    </w:p>
    <w:p w14:paraId="0786040D" w14:textId="77777777" w:rsidR="006E3D0E" w:rsidRPr="00CB408F" w:rsidRDefault="006E3D0E" w:rsidP="006E3D0E">
      <w:pPr>
        <w:contextualSpacing/>
        <w:jc w:val="center"/>
        <w:rPr>
          <w:sz w:val="32"/>
          <w:szCs w:val="32"/>
        </w:rPr>
      </w:pPr>
    </w:p>
    <w:p w14:paraId="3B560E96" w14:textId="77777777" w:rsidR="006E3D0E" w:rsidRPr="00CB408F" w:rsidRDefault="006E3D0E" w:rsidP="006E3D0E">
      <w:pPr>
        <w:contextualSpacing/>
        <w:jc w:val="center"/>
        <w:rPr>
          <w:sz w:val="32"/>
          <w:szCs w:val="32"/>
        </w:rPr>
      </w:pPr>
    </w:p>
    <w:p w14:paraId="6F7A5C3E" w14:textId="77777777" w:rsidR="006E3D0E" w:rsidRPr="00CB408F" w:rsidRDefault="006E3D0E" w:rsidP="006E3D0E">
      <w:pPr>
        <w:contextualSpacing/>
        <w:jc w:val="center"/>
        <w:rPr>
          <w:sz w:val="32"/>
          <w:szCs w:val="32"/>
        </w:rPr>
      </w:pPr>
    </w:p>
    <w:p w14:paraId="4431A8DD" w14:textId="77777777" w:rsidR="006E3D0E" w:rsidRPr="00CB408F" w:rsidRDefault="006E3D0E" w:rsidP="006E3D0E">
      <w:pPr>
        <w:contextualSpacing/>
        <w:jc w:val="center"/>
        <w:rPr>
          <w:sz w:val="32"/>
          <w:szCs w:val="32"/>
        </w:rPr>
      </w:pPr>
    </w:p>
    <w:p w14:paraId="40280751" w14:textId="77777777" w:rsidR="006E3D0E" w:rsidRPr="00CB408F" w:rsidRDefault="006E3D0E" w:rsidP="006E3D0E">
      <w:pPr>
        <w:contextualSpacing/>
        <w:jc w:val="center"/>
        <w:rPr>
          <w:sz w:val="32"/>
          <w:szCs w:val="32"/>
        </w:rPr>
      </w:pPr>
    </w:p>
    <w:p w14:paraId="5AAD90E1" w14:textId="77777777"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14:paraId="4F9BFB80" w14:textId="77777777" w:rsidR="006E3D0E" w:rsidRPr="00CB408F" w:rsidRDefault="006E3D0E" w:rsidP="006E3D0E">
      <w:pPr>
        <w:contextualSpacing/>
        <w:jc w:val="center"/>
        <w:rPr>
          <w:rFonts w:ascii="Times New Roman" w:eastAsia="Arial" w:hAnsi="Times New Roman"/>
          <w:b/>
          <w:bCs/>
          <w:sz w:val="32"/>
          <w:szCs w:val="32"/>
        </w:rPr>
      </w:pPr>
    </w:p>
    <w:p w14:paraId="2E0C4FB1"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14:paraId="295A0C40"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14:paraId="7E94A9A5"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83D1A33"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B22E8B9"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546E504"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BCC7BD4"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EB768C1"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D3A8DCD"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A5EDB91"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41A51AC"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0BC010A"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780900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A2273F9"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6C7F4F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00D9BF1" w14:textId="77777777"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5246231"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FD7AC05"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FEF1AD3"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2E4F6C8" w14:textId="77777777"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4DC204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BD065BE"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14:paraId="34DC0B35" w14:textId="77777777" w:rsidR="006E3D0E" w:rsidRPr="00CB408F" w:rsidRDefault="006E3D0E" w:rsidP="006E3D0E">
      <w:pPr>
        <w:spacing w:after="0" w:line="240" w:lineRule="auto"/>
        <w:jc w:val="both"/>
        <w:rPr>
          <w:rFonts w:ascii="Times New Roman" w:hAnsi="Times New Roman"/>
          <w:b/>
          <w:sz w:val="24"/>
          <w:szCs w:val="24"/>
        </w:rPr>
      </w:pPr>
    </w:p>
    <w:p w14:paraId="78A6BA5B" w14:textId="77777777"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14:paraId="2F48278D" w14:textId="09805DD9"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773D3E">
        <w:rPr>
          <w:rFonts w:ascii="Times New Roman" w:hAnsi="Times New Roman"/>
          <w:sz w:val="24"/>
          <w:szCs w:val="24"/>
        </w:rPr>
        <w:t>Przebudowa</w:t>
      </w:r>
      <w:r w:rsidR="000C53C4">
        <w:rPr>
          <w:rFonts w:ascii="Times New Roman" w:hAnsi="Times New Roman"/>
          <w:sz w:val="24"/>
          <w:szCs w:val="24"/>
        </w:rPr>
        <w:t xml:space="preserve"> drogi gminnej nr </w:t>
      </w:r>
      <w:r w:rsidR="00773D3E">
        <w:rPr>
          <w:rFonts w:ascii="Times New Roman" w:hAnsi="Times New Roman"/>
          <w:sz w:val="24"/>
          <w:szCs w:val="24"/>
        </w:rPr>
        <w:t>0601</w:t>
      </w:r>
      <w:r w:rsidR="00776189">
        <w:rPr>
          <w:rFonts w:ascii="Times New Roman" w:hAnsi="Times New Roman"/>
          <w:sz w:val="24"/>
          <w:szCs w:val="24"/>
        </w:rPr>
        <w:t>12</w:t>
      </w:r>
      <w:r w:rsidR="000C53C4">
        <w:rPr>
          <w:rFonts w:ascii="Times New Roman" w:hAnsi="Times New Roman"/>
          <w:sz w:val="24"/>
          <w:szCs w:val="24"/>
        </w:rPr>
        <w:t>C</w:t>
      </w:r>
      <w:r w:rsidR="00773D3E">
        <w:rPr>
          <w:rFonts w:ascii="Times New Roman" w:hAnsi="Times New Roman"/>
          <w:sz w:val="24"/>
          <w:szCs w:val="24"/>
        </w:rPr>
        <w:t xml:space="preserve"> w </w:t>
      </w:r>
      <w:r w:rsidR="00776189">
        <w:rPr>
          <w:rFonts w:ascii="Times New Roman" w:hAnsi="Times New Roman"/>
          <w:sz w:val="24"/>
          <w:szCs w:val="24"/>
        </w:rPr>
        <w:t>Starogrodzie Dolnym</w:t>
      </w:r>
      <w:r w:rsidR="000C53C4">
        <w:rPr>
          <w:rFonts w:ascii="Times New Roman" w:hAnsi="Times New Roman"/>
          <w:sz w:val="24"/>
          <w:szCs w:val="24"/>
        </w:rPr>
        <w:t>”</w:t>
      </w:r>
    </w:p>
    <w:p w14:paraId="7E2214AD" w14:textId="77777777" w:rsidR="006E3D0E" w:rsidRPr="00CB408F" w:rsidRDefault="006E3D0E" w:rsidP="006E3D0E">
      <w:pPr>
        <w:spacing w:after="0" w:line="240" w:lineRule="auto"/>
        <w:jc w:val="both"/>
        <w:rPr>
          <w:rFonts w:ascii="Times New Roman" w:hAnsi="Times New Roman"/>
          <w:b/>
          <w:sz w:val="24"/>
          <w:szCs w:val="24"/>
        </w:rPr>
      </w:pPr>
    </w:p>
    <w:p w14:paraId="7C80237C" w14:textId="77777777"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14:paraId="5ADE48F3" w14:textId="77777777"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14:paraId="1CA18AB1" w14:textId="542F633F"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w:t>
      </w:r>
      <w:r w:rsidR="005F2A57">
        <w:rPr>
          <w:rFonts w:ascii="Times New Roman" w:hAnsi="Times New Roman"/>
          <w:sz w:val="24"/>
          <w:szCs w:val="24"/>
        </w:rPr>
        <w:t xml:space="preserve"> </w:t>
      </w:r>
      <w:r w:rsidR="000C53C4">
        <w:rPr>
          <w:rFonts w:ascii="Times New Roman" w:hAnsi="Times New Roman"/>
          <w:sz w:val="24"/>
          <w:szCs w:val="24"/>
        </w:rPr>
        <w:t>–</w:t>
      </w:r>
      <w:r w:rsidR="005F2A57">
        <w:rPr>
          <w:rFonts w:ascii="Times New Roman" w:hAnsi="Times New Roman"/>
          <w:sz w:val="24"/>
          <w:szCs w:val="24"/>
        </w:rPr>
        <w:t xml:space="preserve"> </w:t>
      </w:r>
      <w:r w:rsidR="000C53C4">
        <w:rPr>
          <w:rFonts w:ascii="Times New Roman" w:hAnsi="Times New Roman"/>
          <w:sz w:val="24"/>
          <w:szCs w:val="24"/>
        </w:rPr>
        <w:t xml:space="preserve">dolnej i </w:t>
      </w:r>
      <w:r w:rsidR="005F2A57">
        <w:rPr>
          <w:rFonts w:ascii="Times New Roman" w:hAnsi="Times New Roman"/>
          <w:sz w:val="24"/>
          <w:szCs w:val="24"/>
        </w:rPr>
        <w:t xml:space="preserve">górnej warstwy podbudowy </w:t>
      </w:r>
      <w:r w:rsidR="000C53C4">
        <w:rPr>
          <w:rFonts w:ascii="Times New Roman" w:hAnsi="Times New Roman"/>
          <w:sz w:val="24"/>
          <w:szCs w:val="24"/>
        </w:rPr>
        <w:t xml:space="preserve">zasadniczej </w:t>
      </w:r>
      <w:r>
        <w:rPr>
          <w:rFonts w:ascii="Times New Roman" w:hAnsi="Times New Roman"/>
          <w:sz w:val="24"/>
          <w:szCs w:val="24"/>
        </w:rPr>
        <w:t>należy stosować zapisy i ustalenia dla miesza</w:t>
      </w:r>
      <w:r w:rsidR="00205DC1">
        <w:rPr>
          <w:rFonts w:ascii="Times New Roman" w:hAnsi="Times New Roman"/>
          <w:sz w:val="24"/>
          <w:szCs w:val="24"/>
        </w:rPr>
        <w:t>nek o granulacji 0/31,5</w:t>
      </w:r>
      <w:r w:rsidR="005F2A57">
        <w:rPr>
          <w:rFonts w:ascii="Times New Roman" w:hAnsi="Times New Roman"/>
          <w:sz w:val="24"/>
          <w:szCs w:val="24"/>
        </w:rPr>
        <w:t xml:space="preserve"> mm bez dodatkowego spoiwa.</w:t>
      </w:r>
    </w:p>
    <w:p w14:paraId="7C5257CD" w14:textId="77777777" w:rsidR="006E3D0E" w:rsidRPr="00CB408F" w:rsidRDefault="006E3D0E" w:rsidP="004A0B8A">
      <w:pPr>
        <w:pStyle w:val="Bezodstpw"/>
        <w:rPr>
          <w:rFonts w:ascii="Times New Roman" w:hAnsi="Times New Roman"/>
          <w:sz w:val="24"/>
          <w:szCs w:val="24"/>
        </w:rPr>
      </w:pPr>
    </w:p>
    <w:p w14:paraId="7DFF59D1" w14:textId="77777777" w:rsidR="006E3D0E" w:rsidRPr="00CB408F" w:rsidRDefault="006E3D0E" w:rsidP="000B797D">
      <w:pPr>
        <w:jc w:val="both"/>
        <w:rPr>
          <w:rFonts w:ascii="Times New Roman" w:hAnsi="Times New Roman"/>
          <w:sz w:val="24"/>
          <w:szCs w:val="24"/>
        </w:rPr>
      </w:pPr>
    </w:p>
    <w:p w14:paraId="48259AFD"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0" w:name="_Toc346191018"/>
      <w:r w:rsidRPr="00CB408F">
        <w:rPr>
          <w:rFonts w:ascii="Times New Roman" w:hAnsi="Times New Roman" w:cs="Times New Roman"/>
          <w:b/>
          <w:color w:val="auto"/>
          <w:sz w:val="24"/>
          <w:szCs w:val="24"/>
        </w:rPr>
        <w:t>Zakres robót objętych SST</w:t>
      </w:r>
      <w:bookmarkEnd w:id="0"/>
    </w:p>
    <w:p w14:paraId="65B7C3A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14:paraId="55DB005E"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14:paraId="4DA9F049"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14:paraId="0B740E11"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14:paraId="7E4C6B14"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14:paraId="54B4D45A"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14:paraId="384364BA"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14:paraId="0C7BF9DB" w14:textId="77777777" w:rsidR="000B797D" w:rsidRPr="00CB408F" w:rsidRDefault="000B797D" w:rsidP="000B797D">
      <w:pPr>
        <w:tabs>
          <w:tab w:val="left" w:pos="1701"/>
          <w:tab w:val="left" w:pos="3119"/>
        </w:tabs>
        <w:ind w:left="3119" w:hanging="3119"/>
        <w:rPr>
          <w:rFonts w:ascii="Times New Roman" w:hAnsi="Times New Roman"/>
          <w:sz w:val="24"/>
          <w:szCs w:val="24"/>
        </w:rPr>
      </w:pPr>
    </w:p>
    <w:p w14:paraId="0B2D089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9"/>
      <w:r w:rsidRPr="00CB408F">
        <w:rPr>
          <w:rFonts w:ascii="Times New Roman" w:hAnsi="Times New Roman" w:cs="Times New Roman"/>
          <w:b/>
          <w:color w:val="auto"/>
          <w:sz w:val="24"/>
          <w:szCs w:val="24"/>
        </w:rPr>
        <w:t>Określenia podstawowe</w:t>
      </w:r>
      <w:bookmarkEnd w:id="1"/>
    </w:p>
    <w:p w14:paraId="59AEA3DA"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2" w:name="_Toc346191020"/>
      <w:r w:rsidRPr="00CB408F">
        <w:rPr>
          <w:rStyle w:val="Nagwek5Znak"/>
          <w:rFonts w:ascii="Times New Roman" w:eastAsia="Calibri" w:hAnsi="Times New Roman" w:cs="Times New Roman"/>
          <w:b/>
          <w:bCs/>
          <w:color w:val="auto"/>
          <w:sz w:val="24"/>
          <w:szCs w:val="24"/>
        </w:rPr>
        <w:t>Konstrukcja nawierzchni</w:t>
      </w:r>
      <w:bookmarkEnd w:id="2"/>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na podłoże gruntowe oraz zapewnienie bezpieczeństwa i komfortu jazdy pojazdów. Konstrukcja nawierzchni spoczywa na podłożu gruntowym lub ulepszonym podłożu. Konstrukcję wzmacnianej nawierzchni należy traktować jak podbudowę.</w:t>
      </w:r>
    </w:p>
    <w:p w14:paraId="1BD0C1BB"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1"/>
      <w:r w:rsidRPr="00CB408F">
        <w:rPr>
          <w:rStyle w:val="Nagwek5Znak"/>
          <w:rFonts w:ascii="Times New Roman" w:eastAsia="Calibri" w:hAnsi="Times New Roman" w:cs="Times New Roman"/>
          <w:b/>
          <w:color w:val="auto"/>
          <w:sz w:val="24"/>
          <w:szCs w:val="24"/>
        </w:rPr>
        <w:lastRenderedPageBreak/>
        <w:t>Podbudowa zasadnicza</w:t>
      </w:r>
      <w:bookmarkEnd w:id="3"/>
      <w:r w:rsidRPr="00CB408F">
        <w:rPr>
          <w:rFonts w:ascii="Times New Roman" w:hAnsi="Times New Roman"/>
          <w:sz w:val="24"/>
          <w:szCs w:val="24"/>
        </w:rPr>
        <w:t xml:space="preserve"> – warstwa lub warstwy konstrukcji nawierzchni spełniająca(e) podstawową funkcję w rozłożeniu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Podbudowa zasadnicza może być jednowarstwowa lub dwuwarstwowa.</w:t>
      </w:r>
    </w:p>
    <w:p w14:paraId="32A4ED1D"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2"/>
      <w:r w:rsidRPr="00CB408F">
        <w:rPr>
          <w:rStyle w:val="Nagwek5Znak"/>
          <w:rFonts w:ascii="Times New Roman" w:eastAsia="Calibri" w:hAnsi="Times New Roman" w:cs="Times New Roman"/>
          <w:b/>
          <w:color w:val="auto"/>
          <w:sz w:val="24"/>
          <w:szCs w:val="24"/>
        </w:rPr>
        <w:t>Podbudowa pomocnicza</w:t>
      </w:r>
      <w:bookmarkEnd w:id="4"/>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w:t>
      </w:r>
      <w:proofErr w:type="spellStart"/>
      <w:r w:rsidRPr="00CB408F">
        <w:rPr>
          <w:rFonts w:ascii="Times New Roman" w:hAnsi="Times New Roman"/>
          <w:sz w:val="24"/>
          <w:szCs w:val="24"/>
        </w:rPr>
        <w:t>naprężeń</w:t>
      </w:r>
      <w:proofErr w:type="spellEnd"/>
      <w:r w:rsidRPr="00CB408F">
        <w:rPr>
          <w:rFonts w:ascii="Times New Roman" w:hAnsi="Times New Roman"/>
          <w:sz w:val="24"/>
          <w:szCs w:val="24"/>
        </w:rPr>
        <w:t xml:space="preserve"> od kół pojazdów oraz ochronę nawierzchni przed szkodliwym działaniem mrozu.</w:t>
      </w:r>
    </w:p>
    <w:p w14:paraId="7C2944A1"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3"/>
      <w:r w:rsidRPr="00CB408F">
        <w:rPr>
          <w:rStyle w:val="Nagwek5Znak"/>
          <w:rFonts w:ascii="Times New Roman" w:eastAsia="Calibri" w:hAnsi="Times New Roman" w:cs="Times New Roman"/>
          <w:b/>
          <w:color w:val="auto"/>
          <w:sz w:val="24"/>
          <w:szCs w:val="24"/>
        </w:rPr>
        <w:t xml:space="preserve">Warstwa </w:t>
      </w:r>
      <w:proofErr w:type="spellStart"/>
      <w:r w:rsidRPr="00CB408F">
        <w:rPr>
          <w:rStyle w:val="Nagwek5Znak"/>
          <w:rFonts w:ascii="Times New Roman" w:eastAsia="Calibri" w:hAnsi="Times New Roman" w:cs="Times New Roman"/>
          <w:b/>
          <w:color w:val="auto"/>
          <w:sz w:val="24"/>
          <w:szCs w:val="24"/>
        </w:rPr>
        <w:t>mrozoochronna</w:t>
      </w:r>
      <w:bookmarkEnd w:id="5"/>
      <w:proofErr w:type="spellEnd"/>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pełni także funkcję warstwy odsączającej.</w:t>
      </w:r>
    </w:p>
    <w:p w14:paraId="563ABF2F"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4"/>
      <w:r w:rsidRPr="00CB408F">
        <w:rPr>
          <w:rStyle w:val="Nagwek5Znak"/>
          <w:rFonts w:ascii="Times New Roman" w:eastAsia="Calibri" w:hAnsi="Times New Roman" w:cs="Times New Roman"/>
          <w:b/>
          <w:color w:val="auto"/>
          <w:sz w:val="24"/>
          <w:szCs w:val="24"/>
        </w:rPr>
        <w:t>Warstwa odsączająca</w:t>
      </w:r>
      <w:bookmarkEnd w:id="6"/>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lub warstwa ulepszonego podłoża, które w takim przypadku muszą być wykonane z materiału o dużej wodoprzepuszczalności.</w:t>
      </w:r>
    </w:p>
    <w:p w14:paraId="26C56117"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5"/>
      <w:bookmarkStart w:id="8" w:name="_Toc223234195"/>
      <w:r w:rsidRPr="00CB408F">
        <w:rPr>
          <w:rStyle w:val="Nagwek5Znak"/>
          <w:rFonts w:ascii="Times New Roman" w:eastAsia="Calibri" w:hAnsi="Times New Roman" w:cs="Times New Roman"/>
          <w:b/>
          <w:color w:val="auto"/>
          <w:sz w:val="24"/>
          <w:szCs w:val="24"/>
        </w:rPr>
        <w:t>Warstwa odcinająca</w:t>
      </w:r>
      <w:bookmarkEnd w:id="7"/>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14:paraId="7D2A8239" w14:textId="77777777"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0E0B95"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14:anchorId="0DEF28A5" wp14:editId="2AF70CCC">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0E0B95"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14:anchorId="62B2B331" wp14:editId="7C914AC5">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000E0B95" w:rsidRPr="00CB408F">
        <w:rPr>
          <w:rFonts w:ascii="Times New Roman" w:hAnsi="Times New Roman"/>
          <w:sz w:val="24"/>
          <w:szCs w:val="24"/>
        </w:rPr>
        <w:fldChar w:fldCharType="end"/>
      </w:r>
      <w:r w:rsidRPr="00CB408F">
        <w:rPr>
          <w:rFonts w:ascii="Times New Roman" w:hAnsi="Times New Roman"/>
          <w:sz w:val="24"/>
          <w:szCs w:val="24"/>
        </w:rPr>
        <w:t>)</w:t>
      </w:r>
    </w:p>
    <w:p w14:paraId="62D2C0DD"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9" w:name="_Toc346191026"/>
      <w:r w:rsidRPr="00CB408F">
        <w:rPr>
          <w:rStyle w:val="Nagwek5Znak"/>
          <w:rFonts w:ascii="Times New Roman" w:eastAsia="Calibri" w:hAnsi="Times New Roman" w:cs="Times New Roman"/>
          <w:b/>
          <w:color w:val="auto"/>
          <w:sz w:val="24"/>
          <w:szCs w:val="24"/>
        </w:rPr>
        <w:t>Mieszanka niezwiązana</w:t>
      </w:r>
      <w:bookmarkEnd w:id="9"/>
      <w:r w:rsidRPr="00CB408F">
        <w:rPr>
          <w:rFonts w:ascii="Times New Roman" w:hAnsi="Times New Roman"/>
          <w:sz w:val="24"/>
          <w:szCs w:val="24"/>
        </w:rPr>
        <w:t xml:space="preserve"> – ziarnisty materiał o określonym składzie ziarnowym (</w:t>
      </w:r>
      <w:proofErr w:type="spellStart"/>
      <w:r w:rsidRPr="00CB408F">
        <w:rPr>
          <w:rFonts w:ascii="Times New Roman" w:hAnsi="Times New Roman"/>
          <w:sz w:val="24"/>
          <w:szCs w:val="24"/>
        </w:rPr>
        <w:t>d÷D</w:t>
      </w:r>
      <w:proofErr w:type="spellEnd"/>
      <w:r w:rsidRPr="00CB408F">
        <w:rPr>
          <w:rFonts w:ascii="Times New Roman" w:hAnsi="Times New Roman"/>
          <w:sz w:val="24"/>
          <w:szCs w:val="24"/>
        </w:rPr>
        <w:t>), który jest stosowany do wykonywania warstw konstrukcyjnych nawierzchni. Mieszanka niezwiązana może być wytworzona: z kruszyw naturalnych, sztucznych, z recyklingu lub mieszaniny tych kruszyw w określonych proporcjach.</w:t>
      </w:r>
    </w:p>
    <w:p w14:paraId="4A3DB760"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7"/>
      <w:r w:rsidRPr="00CB408F">
        <w:rPr>
          <w:rStyle w:val="Nagwek5Znak"/>
          <w:rFonts w:ascii="Times New Roman" w:eastAsia="Calibri" w:hAnsi="Times New Roman" w:cs="Times New Roman"/>
          <w:b/>
          <w:color w:val="auto"/>
          <w:sz w:val="24"/>
          <w:szCs w:val="24"/>
        </w:rPr>
        <w:t>Nawierzchnia z mieszanki niezwiązanej</w:t>
      </w:r>
      <w:bookmarkEnd w:id="10"/>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14:paraId="3CB0B697"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8"/>
      <w:r w:rsidRPr="00CB408F">
        <w:rPr>
          <w:rStyle w:val="Nagwek5Znak"/>
          <w:rFonts w:ascii="Times New Roman" w:eastAsia="Calibri" w:hAnsi="Times New Roman" w:cs="Times New Roman"/>
          <w:b/>
          <w:color w:val="auto"/>
          <w:sz w:val="24"/>
          <w:szCs w:val="24"/>
        </w:rPr>
        <w:t>Kategoria</w:t>
      </w:r>
      <w:bookmarkEnd w:id="11"/>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14:paraId="62599B17"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9"/>
      <w:r w:rsidRPr="00CB408F">
        <w:rPr>
          <w:rStyle w:val="Nagwek5Znak"/>
          <w:rFonts w:ascii="Times New Roman" w:eastAsia="Calibri" w:hAnsi="Times New Roman" w:cs="Times New Roman"/>
          <w:b/>
          <w:color w:val="auto"/>
          <w:sz w:val="24"/>
          <w:szCs w:val="24"/>
        </w:rPr>
        <w:t>Partia</w:t>
      </w:r>
      <w:bookmarkEnd w:id="12"/>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14:paraId="229FB23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3" w:name="_Toc346191030"/>
      <w:r w:rsidRPr="00CB408F">
        <w:rPr>
          <w:rFonts w:ascii="Times New Roman" w:hAnsi="Times New Roman" w:cs="Times New Roman"/>
          <w:b/>
          <w:color w:val="auto"/>
          <w:sz w:val="24"/>
          <w:szCs w:val="24"/>
        </w:rPr>
        <w:t>Symbole i skróty</w:t>
      </w:r>
      <w:bookmarkEnd w:id="13"/>
    </w:p>
    <w:p w14:paraId="63841722"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14:paraId="5D784D90"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14:paraId="6B4481D3"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14:paraId="3E3566CD"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[mm];</w:t>
      </w:r>
    </w:p>
    <w:p w14:paraId="21B596B9"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14:paraId="4E63FF4A"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14:paraId="6D4589AE"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14:paraId="1FBFC33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geowłókniny lub </w:t>
      </w:r>
      <w:proofErr w:type="spellStart"/>
      <w:r w:rsidRPr="00CB408F">
        <w:rPr>
          <w:rFonts w:ascii="Times New Roman" w:hAnsi="Times New Roman"/>
          <w:sz w:val="24"/>
          <w:szCs w:val="24"/>
        </w:rPr>
        <w:t>geotkaniny</w:t>
      </w:r>
      <w:proofErr w:type="spellEnd"/>
      <w:r w:rsidRPr="00CB408F">
        <w:rPr>
          <w:rFonts w:ascii="Times New Roman" w:hAnsi="Times New Roman"/>
          <w:sz w:val="24"/>
          <w:szCs w:val="24"/>
        </w:rPr>
        <w:t xml:space="preserve"> odpowiadająca wymiarom frakcji gruntu podłoża zatrzymującego się na geowłókninie lub </w:t>
      </w:r>
      <w:proofErr w:type="spellStart"/>
      <w:r w:rsidRPr="00CB408F">
        <w:rPr>
          <w:rFonts w:ascii="Times New Roman" w:hAnsi="Times New Roman"/>
          <w:sz w:val="24"/>
          <w:szCs w:val="24"/>
        </w:rPr>
        <w:t>geotkaninie</w:t>
      </w:r>
      <w:proofErr w:type="spellEnd"/>
      <w:r w:rsidRPr="00CB408F">
        <w:rPr>
          <w:rFonts w:ascii="Times New Roman" w:hAnsi="Times New Roman"/>
          <w:sz w:val="24"/>
          <w:szCs w:val="24"/>
        </w:rPr>
        <w:t xml:space="preserv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8"/>
    </w:p>
    <w:p w14:paraId="1AB0B0C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1"/>
      <w:r w:rsidRPr="00CB408F">
        <w:rPr>
          <w:rFonts w:ascii="Times New Roman" w:hAnsi="Times New Roman" w:cs="Times New Roman"/>
          <w:b/>
          <w:color w:val="auto"/>
          <w:sz w:val="24"/>
          <w:szCs w:val="24"/>
        </w:rPr>
        <w:t>Ogólne wymagania dotyczące robót</w:t>
      </w:r>
      <w:bookmarkEnd w:id="14"/>
    </w:p>
    <w:p w14:paraId="077AAB0C" w14:textId="77777777"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14:paraId="08009C4B"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5" w:name="_Toc346191032"/>
      <w:r w:rsidRPr="00CB408F">
        <w:rPr>
          <w:rFonts w:ascii="Times New Roman" w:hAnsi="Times New Roman" w:cs="Times New Roman"/>
          <w:sz w:val="24"/>
          <w:szCs w:val="24"/>
        </w:rPr>
        <w:t>MATERIAŁY</w:t>
      </w:r>
      <w:bookmarkEnd w:id="15"/>
    </w:p>
    <w:p w14:paraId="1A788DD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6" w:name="_Toc346191033"/>
      <w:r w:rsidRPr="00CB408F">
        <w:rPr>
          <w:rFonts w:ascii="Times New Roman" w:hAnsi="Times New Roman" w:cs="Times New Roman"/>
          <w:b/>
          <w:color w:val="auto"/>
          <w:sz w:val="24"/>
          <w:szCs w:val="24"/>
        </w:rPr>
        <w:t>Materiały do mieszanek</w:t>
      </w:r>
      <w:bookmarkEnd w:id="16"/>
    </w:p>
    <w:p w14:paraId="1DE5309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7" w:name="_Toc346191034"/>
      <w:r w:rsidRPr="00CB408F">
        <w:rPr>
          <w:rFonts w:ascii="Times New Roman" w:hAnsi="Times New Roman" w:cs="Times New Roman"/>
          <w:b/>
          <w:color w:val="auto"/>
          <w:sz w:val="24"/>
          <w:szCs w:val="24"/>
        </w:rPr>
        <w:t>Ogólne wymagania dotyczące materiałów</w:t>
      </w:r>
      <w:bookmarkEnd w:id="17"/>
    </w:p>
    <w:p w14:paraId="7C86DEE2"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14:paraId="5D217ADD"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5"/>
      <w:r w:rsidRPr="00CB408F">
        <w:rPr>
          <w:rFonts w:ascii="Times New Roman" w:hAnsi="Times New Roman" w:cs="Times New Roman"/>
          <w:b/>
          <w:color w:val="auto"/>
          <w:sz w:val="24"/>
          <w:szCs w:val="24"/>
        </w:rPr>
        <w:t>Kruszywa</w:t>
      </w:r>
      <w:bookmarkEnd w:id="18"/>
    </w:p>
    <w:p w14:paraId="6873466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14:paraId="295FC5C4" w14:textId="77777777"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 xml:space="preserve">Materiały pochodzące z rozbiórek (recyklingu) stanowiące własność Wykonawcy, po akceptacji Inżyniera Wykonawca będzie mógł wykorzystać do ponownego wbudowania na placu budowy za wyjątkiem układu podstawowego drogi S-5 tj. jezdni trasy głównej, łącznic i jezdni </w:t>
      </w:r>
      <w:proofErr w:type="spellStart"/>
      <w:r w:rsidRPr="00CB408F">
        <w:rPr>
          <w:rFonts w:ascii="Times New Roman" w:hAnsi="Times New Roman"/>
          <w:sz w:val="24"/>
          <w:szCs w:val="24"/>
        </w:rPr>
        <w:t>zbierająco</w:t>
      </w:r>
      <w:proofErr w:type="spellEnd"/>
      <w:r w:rsidRPr="00CB408F">
        <w:rPr>
          <w:rFonts w:ascii="Times New Roman" w:hAnsi="Times New Roman"/>
          <w:sz w:val="24"/>
          <w:szCs w:val="24"/>
        </w:rPr>
        <w:t>-rozprowadzającej.</w:t>
      </w:r>
    </w:p>
    <w:p w14:paraId="5A32B177" w14:textId="77777777" w:rsidR="006F271C" w:rsidRPr="00CB408F" w:rsidRDefault="006F271C" w:rsidP="000B797D">
      <w:pPr>
        <w:jc w:val="both"/>
        <w:rPr>
          <w:rFonts w:ascii="Times New Roman" w:hAnsi="Times New Roman"/>
          <w:sz w:val="24"/>
          <w:szCs w:val="24"/>
        </w:rPr>
      </w:pPr>
    </w:p>
    <w:p w14:paraId="65CF0416" w14:textId="77777777"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14:paraId="51DCA25F"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
        <w:gridCol w:w="532"/>
        <w:gridCol w:w="4496"/>
        <w:gridCol w:w="3544"/>
        <w:gridCol w:w="3969"/>
      </w:tblGrid>
      <w:tr w:rsidR="000B797D" w:rsidRPr="00CB408F" w14:paraId="08DE9689" w14:textId="77777777" w:rsidTr="00A54DAB">
        <w:trPr>
          <w:trHeight w:val="522"/>
        </w:trPr>
        <w:tc>
          <w:tcPr>
            <w:tcW w:w="538" w:type="dxa"/>
            <w:gridSpan w:val="2"/>
            <w:vMerge w:val="restart"/>
            <w:vAlign w:val="center"/>
          </w:tcPr>
          <w:p w14:paraId="184E034F" w14:textId="77777777" w:rsidR="000B797D" w:rsidRPr="00CB408F" w:rsidRDefault="000B797D" w:rsidP="00A54DAB">
            <w:pPr>
              <w:autoSpaceDE w:val="0"/>
              <w:autoSpaceDN w:val="0"/>
              <w:adjustRightInd w:val="0"/>
              <w:jc w:val="center"/>
              <w:rPr>
                <w:rFonts w:ascii="Times New Roman" w:hAnsi="Times New Roman"/>
                <w:sz w:val="24"/>
                <w:szCs w:val="24"/>
              </w:rPr>
            </w:pPr>
          </w:p>
          <w:p w14:paraId="03E1BDA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14:paraId="06355BE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14:paraId="481280A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14:paraId="647934E6" w14:textId="77777777" w:rsidTr="00A54DAB">
        <w:trPr>
          <w:trHeight w:val="717"/>
        </w:trPr>
        <w:tc>
          <w:tcPr>
            <w:tcW w:w="538" w:type="dxa"/>
            <w:gridSpan w:val="2"/>
            <w:vMerge/>
            <w:vAlign w:val="center"/>
          </w:tcPr>
          <w:p w14:paraId="5E41AFA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18FC881D"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14:paraId="2AFE905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14:paraId="02F3F7E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14:paraId="2CC621D6" w14:textId="77777777" w:rsidTr="00A54DAB">
        <w:trPr>
          <w:trHeight w:val="134"/>
        </w:trPr>
        <w:tc>
          <w:tcPr>
            <w:tcW w:w="538" w:type="dxa"/>
            <w:gridSpan w:val="2"/>
            <w:vMerge/>
            <w:vAlign w:val="center"/>
          </w:tcPr>
          <w:p w14:paraId="18EF444F"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2E1C52A2" w14:textId="77777777" w:rsidR="000B797D" w:rsidRPr="00CB408F" w:rsidRDefault="000B797D" w:rsidP="00A54DAB">
            <w:pPr>
              <w:autoSpaceDE w:val="0"/>
              <w:autoSpaceDN w:val="0"/>
              <w:adjustRightInd w:val="0"/>
              <w:rPr>
                <w:rFonts w:ascii="Times New Roman" w:hAnsi="Times New Roman"/>
                <w:sz w:val="24"/>
                <w:szCs w:val="24"/>
              </w:rPr>
            </w:pPr>
          </w:p>
        </w:tc>
        <w:tc>
          <w:tcPr>
            <w:tcW w:w="3544" w:type="dxa"/>
          </w:tcPr>
          <w:p w14:paraId="0F9AD2B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14:paraId="4192835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4DF9E588" w14:textId="77777777" w:rsidTr="00A54DAB">
        <w:trPr>
          <w:trHeight w:val="134"/>
        </w:trPr>
        <w:tc>
          <w:tcPr>
            <w:tcW w:w="538" w:type="dxa"/>
            <w:gridSpan w:val="2"/>
            <w:vMerge w:val="restart"/>
            <w:vAlign w:val="center"/>
          </w:tcPr>
          <w:p w14:paraId="480CD82C" w14:textId="77777777" w:rsidR="000B797D" w:rsidRPr="00CB408F" w:rsidRDefault="000B797D" w:rsidP="00A54DAB">
            <w:pPr>
              <w:autoSpaceDE w:val="0"/>
              <w:autoSpaceDN w:val="0"/>
              <w:adjustRightInd w:val="0"/>
              <w:jc w:val="center"/>
              <w:rPr>
                <w:rFonts w:ascii="Times New Roman" w:hAnsi="Times New Roman"/>
                <w:sz w:val="24"/>
                <w:szCs w:val="24"/>
              </w:rPr>
            </w:pPr>
          </w:p>
          <w:p w14:paraId="2FCDEA2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14:paraId="099B94C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14:paraId="30A8921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14:paraId="31BB2C7C" w14:textId="77777777" w:rsidTr="00A54DAB">
        <w:trPr>
          <w:trHeight w:val="127"/>
        </w:trPr>
        <w:tc>
          <w:tcPr>
            <w:tcW w:w="538" w:type="dxa"/>
            <w:gridSpan w:val="2"/>
            <w:vMerge/>
            <w:vAlign w:val="center"/>
          </w:tcPr>
          <w:p w14:paraId="06E77670"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78B76CF8"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14:paraId="2FDC4E7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14:paraId="49BA59E9" w14:textId="77777777" w:rsidTr="00A54DAB">
        <w:trPr>
          <w:trHeight w:val="158"/>
        </w:trPr>
        <w:tc>
          <w:tcPr>
            <w:tcW w:w="538" w:type="dxa"/>
            <w:gridSpan w:val="2"/>
            <w:vAlign w:val="center"/>
          </w:tcPr>
          <w:p w14:paraId="74A6512F" w14:textId="77777777" w:rsidR="000B797D" w:rsidRPr="00CB408F" w:rsidRDefault="000B797D" w:rsidP="00A54DAB">
            <w:pPr>
              <w:autoSpaceDE w:val="0"/>
              <w:autoSpaceDN w:val="0"/>
              <w:adjustRightInd w:val="0"/>
              <w:jc w:val="center"/>
              <w:rPr>
                <w:rFonts w:ascii="Times New Roman" w:hAnsi="Times New Roman"/>
                <w:sz w:val="24"/>
                <w:szCs w:val="24"/>
              </w:rPr>
            </w:pPr>
          </w:p>
          <w:p w14:paraId="2B85647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14:paraId="376D2FAF"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14:paraId="72CB145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14:paraId="73D8C15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5D7E488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50B12AC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14:paraId="37C1DB1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22FE1AC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09562AF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14:paraId="6DA13CFC" w14:textId="77777777" w:rsidTr="00A54DAB">
        <w:trPr>
          <w:trHeight w:val="312"/>
        </w:trPr>
        <w:tc>
          <w:tcPr>
            <w:tcW w:w="538" w:type="dxa"/>
            <w:gridSpan w:val="2"/>
            <w:vMerge w:val="restart"/>
            <w:vAlign w:val="center"/>
          </w:tcPr>
          <w:p w14:paraId="0D180AE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14:paraId="6E65F4EF"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14:paraId="5872728E"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14:paraId="39A183A2"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14:paraId="0443B3B9"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14:paraId="345279D4" w14:textId="77777777" w:rsidR="000B797D" w:rsidRPr="00CB408F" w:rsidRDefault="000B797D" w:rsidP="00A54DAB">
            <w:pPr>
              <w:autoSpaceDE w:val="0"/>
              <w:autoSpaceDN w:val="0"/>
              <w:adjustRightInd w:val="0"/>
              <w:jc w:val="center"/>
              <w:rPr>
                <w:rFonts w:ascii="Times New Roman" w:hAnsi="Times New Roman"/>
                <w:sz w:val="24"/>
                <w:szCs w:val="24"/>
              </w:rPr>
            </w:pPr>
          </w:p>
          <w:p w14:paraId="5B1887A4" w14:textId="77777777" w:rsidR="000B797D" w:rsidRPr="00CB408F" w:rsidRDefault="000B797D" w:rsidP="00A54DAB">
            <w:pPr>
              <w:autoSpaceDE w:val="0"/>
              <w:autoSpaceDN w:val="0"/>
              <w:adjustRightInd w:val="0"/>
              <w:jc w:val="center"/>
              <w:rPr>
                <w:rFonts w:ascii="Times New Roman" w:hAnsi="Times New Roman"/>
                <w:sz w:val="24"/>
                <w:szCs w:val="24"/>
              </w:rPr>
            </w:pPr>
          </w:p>
          <w:p w14:paraId="57187F4F" w14:textId="77777777" w:rsidR="000B797D" w:rsidRPr="00CB408F" w:rsidRDefault="000B797D" w:rsidP="00A54DAB">
            <w:pPr>
              <w:autoSpaceDE w:val="0"/>
              <w:autoSpaceDN w:val="0"/>
              <w:adjustRightInd w:val="0"/>
              <w:jc w:val="center"/>
              <w:rPr>
                <w:rFonts w:ascii="Times New Roman" w:hAnsi="Times New Roman"/>
                <w:sz w:val="24"/>
                <w:szCs w:val="24"/>
              </w:rPr>
            </w:pPr>
          </w:p>
          <w:p w14:paraId="61D8E6A5" w14:textId="77777777" w:rsidR="000B797D" w:rsidRPr="00CB408F" w:rsidRDefault="000B797D" w:rsidP="00A54DAB">
            <w:pPr>
              <w:autoSpaceDE w:val="0"/>
              <w:autoSpaceDN w:val="0"/>
              <w:adjustRightInd w:val="0"/>
              <w:jc w:val="center"/>
              <w:rPr>
                <w:rFonts w:ascii="Times New Roman" w:hAnsi="Times New Roman"/>
                <w:sz w:val="24"/>
                <w:szCs w:val="24"/>
              </w:rPr>
            </w:pPr>
          </w:p>
          <w:p w14:paraId="591525D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14:paraId="1B590059" w14:textId="77777777" w:rsidR="000B797D" w:rsidRPr="00CB408F" w:rsidRDefault="000B797D" w:rsidP="00A54DAB">
            <w:pPr>
              <w:autoSpaceDE w:val="0"/>
              <w:autoSpaceDN w:val="0"/>
              <w:adjustRightInd w:val="0"/>
              <w:jc w:val="center"/>
              <w:rPr>
                <w:rFonts w:ascii="Times New Roman" w:hAnsi="Times New Roman"/>
                <w:sz w:val="24"/>
                <w:szCs w:val="24"/>
              </w:rPr>
            </w:pPr>
          </w:p>
          <w:p w14:paraId="406F1100" w14:textId="77777777" w:rsidR="000B797D" w:rsidRPr="00CB408F" w:rsidRDefault="000B797D" w:rsidP="00A54DAB">
            <w:pPr>
              <w:autoSpaceDE w:val="0"/>
              <w:autoSpaceDN w:val="0"/>
              <w:adjustRightInd w:val="0"/>
              <w:jc w:val="center"/>
              <w:rPr>
                <w:rFonts w:ascii="Times New Roman" w:hAnsi="Times New Roman"/>
                <w:sz w:val="24"/>
                <w:szCs w:val="24"/>
              </w:rPr>
            </w:pPr>
          </w:p>
          <w:p w14:paraId="7FEC0F74" w14:textId="77777777" w:rsidR="000B797D" w:rsidRPr="00CB408F" w:rsidRDefault="000B797D" w:rsidP="00A54DAB">
            <w:pPr>
              <w:autoSpaceDE w:val="0"/>
              <w:autoSpaceDN w:val="0"/>
              <w:adjustRightInd w:val="0"/>
              <w:jc w:val="center"/>
              <w:rPr>
                <w:rFonts w:ascii="Times New Roman" w:hAnsi="Times New Roman"/>
                <w:sz w:val="24"/>
                <w:szCs w:val="24"/>
              </w:rPr>
            </w:pPr>
          </w:p>
          <w:p w14:paraId="1E19C8E8" w14:textId="77777777" w:rsidR="000B797D" w:rsidRPr="00CB408F" w:rsidRDefault="000B797D" w:rsidP="00A54DAB">
            <w:pPr>
              <w:autoSpaceDE w:val="0"/>
              <w:autoSpaceDN w:val="0"/>
              <w:adjustRightInd w:val="0"/>
              <w:jc w:val="center"/>
              <w:rPr>
                <w:rFonts w:ascii="Times New Roman" w:hAnsi="Times New Roman"/>
                <w:sz w:val="24"/>
                <w:szCs w:val="24"/>
              </w:rPr>
            </w:pPr>
          </w:p>
          <w:p w14:paraId="5E3D382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14:paraId="611BC4BF" w14:textId="77777777" w:rsidTr="00A54DAB">
        <w:trPr>
          <w:trHeight w:val="312"/>
        </w:trPr>
        <w:tc>
          <w:tcPr>
            <w:tcW w:w="538" w:type="dxa"/>
            <w:gridSpan w:val="2"/>
            <w:vMerge/>
            <w:vAlign w:val="center"/>
          </w:tcPr>
          <w:p w14:paraId="5DAD8E8D"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66428C90"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 4</w:t>
            </w:r>
          </w:p>
        </w:tc>
        <w:tc>
          <w:tcPr>
            <w:tcW w:w="3544" w:type="dxa"/>
            <w:vAlign w:val="center"/>
          </w:tcPr>
          <w:p w14:paraId="22176C3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14:paraId="77A070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14:paraId="1CCD3D85" w14:textId="77777777" w:rsidTr="00A54DAB">
        <w:trPr>
          <w:trHeight w:val="312"/>
        </w:trPr>
        <w:tc>
          <w:tcPr>
            <w:tcW w:w="538" w:type="dxa"/>
            <w:gridSpan w:val="2"/>
            <w:vMerge/>
            <w:vAlign w:val="center"/>
          </w:tcPr>
          <w:p w14:paraId="0157B2A0"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1C6C526F"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14:paraId="02A3298C"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14:paraId="487D87D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14:paraId="12D0DFC5"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14:paraId="7225522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14:paraId="5D466A6A" w14:textId="77777777" w:rsidTr="00A54DAB">
        <w:trPr>
          <w:trHeight w:val="209"/>
        </w:trPr>
        <w:tc>
          <w:tcPr>
            <w:tcW w:w="538" w:type="dxa"/>
            <w:gridSpan w:val="2"/>
            <w:vMerge w:val="restart"/>
            <w:vAlign w:val="center"/>
          </w:tcPr>
          <w:p w14:paraId="08BDD656" w14:textId="77777777" w:rsidR="000B797D" w:rsidRPr="00CB408F" w:rsidRDefault="000B797D" w:rsidP="00A54DAB">
            <w:pPr>
              <w:autoSpaceDE w:val="0"/>
              <w:autoSpaceDN w:val="0"/>
              <w:adjustRightInd w:val="0"/>
              <w:jc w:val="center"/>
              <w:rPr>
                <w:rFonts w:ascii="Times New Roman" w:hAnsi="Times New Roman"/>
                <w:sz w:val="24"/>
                <w:szCs w:val="24"/>
              </w:rPr>
            </w:pPr>
          </w:p>
          <w:p w14:paraId="75D44B8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14:paraId="6C61586C"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14:paraId="6D8A08D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14:paraId="6382FA3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32C5505E" w14:textId="77777777" w:rsidR="000B797D" w:rsidRPr="00CB408F" w:rsidRDefault="000B797D" w:rsidP="00A54DAB">
            <w:pPr>
              <w:autoSpaceDE w:val="0"/>
              <w:autoSpaceDN w:val="0"/>
              <w:adjustRightInd w:val="0"/>
              <w:jc w:val="center"/>
              <w:rPr>
                <w:rFonts w:ascii="Times New Roman" w:hAnsi="Times New Roman"/>
                <w:sz w:val="24"/>
                <w:szCs w:val="24"/>
              </w:rPr>
            </w:pPr>
          </w:p>
          <w:p w14:paraId="56A8F7D2" w14:textId="77777777" w:rsidR="000B797D" w:rsidRPr="00CB408F" w:rsidRDefault="000B797D" w:rsidP="00A54DAB">
            <w:pPr>
              <w:autoSpaceDE w:val="0"/>
              <w:autoSpaceDN w:val="0"/>
              <w:adjustRightInd w:val="0"/>
              <w:jc w:val="center"/>
              <w:rPr>
                <w:rFonts w:ascii="Times New Roman" w:hAnsi="Times New Roman"/>
                <w:sz w:val="24"/>
                <w:szCs w:val="24"/>
              </w:rPr>
            </w:pPr>
          </w:p>
          <w:p w14:paraId="2B380CAE" w14:textId="77777777" w:rsidR="000B797D" w:rsidRPr="00CB408F" w:rsidRDefault="000B797D" w:rsidP="00A54DAB">
            <w:pPr>
              <w:autoSpaceDE w:val="0"/>
              <w:autoSpaceDN w:val="0"/>
              <w:adjustRightInd w:val="0"/>
              <w:jc w:val="center"/>
              <w:rPr>
                <w:rFonts w:ascii="Times New Roman" w:hAnsi="Times New Roman"/>
                <w:sz w:val="24"/>
                <w:szCs w:val="24"/>
              </w:rPr>
            </w:pPr>
          </w:p>
          <w:p w14:paraId="204B3D70" w14:textId="77777777" w:rsidR="000B797D" w:rsidRPr="00CB408F" w:rsidRDefault="000B797D" w:rsidP="00A54DAB">
            <w:pPr>
              <w:autoSpaceDE w:val="0"/>
              <w:autoSpaceDN w:val="0"/>
              <w:adjustRightInd w:val="0"/>
              <w:jc w:val="center"/>
              <w:rPr>
                <w:rFonts w:ascii="Times New Roman" w:hAnsi="Times New Roman"/>
                <w:sz w:val="24"/>
                <w:szCs w:val="24"/>
              </w:rPr>
            </w:pPr>
          </w:p>
          <w:p w14:paraId="0180BD72"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14:paraId="42F06407" w14:textId="77777777" w:rsidR="000B797D" w:rsidRPr="00CB408F" w:rsidRDefault="000B797D" w:rsidP="00A54DAB">
            <w:pPr>
              <w:autoSpaceDE w:val="0"/>
              <w:autoSpaceDN w:val="0"/>
              <w:adjustRightInd w:val="0"/>
              <w:jc w:val="center"/>
              <w:rPr>
                <w:rFonts w:ascii="Times New Roman" w:hAnsi="Times New Roman"/>
                <w:sz w:val="24"/>
                <w:szCs w:val="24"/>
              </w:rPr>
            </w:pPr>
          </w:p>
          <w:p w14:paraId="1B3A416E" w14:textId="77777777" w:rsidR="000B797D" w:rsidRPr="00CB408F" w:rsidRDefault="000B797D" w:rsidP="00A54DAB">
            <w:pPr>
              <w:autoSpaceDE w:val="0"/>
              <w:autoSpaceDN w:val="0"/>
              <w:adjustRightInd w:val="0"/>
              <w:jc w:val="center"/>
              <w:rPr>
                <w:rFonts w:ascii="Times New Roman" w:hAnsi="Times New Roman"/>
                <w:sz w:val="24"/>
                <w:szCs w:val="24"/>
              </w:rPr>
            </w:pPr>
          </w:p>
          <w:p w14:paraId="24ECD295" w14:textId="77777777" w:rsidR="000B797D" w:rsidRPr="00CB408F" w:rsidRDefault="000B797D" w:rsidP="00A54DAB">
            <w:pPr>
              <w:autoSpaceDE w:val="0"/>
              <w:autoSpaceDN w:val="0"/>
              <w:adjustRightInd w:val="0"/>
              <w:jc w:val="center"/>
              <w:rPr>
                <w:rFonts w:ascii="Times New Roman" w:hAnsi="Times New Roman"/>
                <w:sz w:val="24"/>
                <w:szCs w:val="24"/>
              </w:rPr>
            </w:pPr>
          </w:p>
          <w:p w14:paraId="2C576BC2" w14:textId="77777777" w:rsidR="000B797D" w:rsidRPr="00CB408F" w:rsidRDefault="000B797D" w:rsidP="00A54DAB">
            <w:pPr>
              <w:autoSpaceDE w:val="0"/>
              <w:autoSpaceDN w:val="0"/>
              <w:adjustRightInd w:val="0"/>
              <w:jc w:val="center"/>
              <w:rPr>
                <w:rFonts w:ascii="Times New Roman" w:hAnsi="Times New Roman"/>
                <w:sz w:val="24"/>
                <w:szCs w:val="24"/>
              </w:rPr>
            </w:pPr>
          </w:p>
          <w:p w14:paraId="30CDABD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14:paraId="07E38B7C" w14:textId="77777777" w:rsidTr="00A54DAB">
        <w:trPr>
          <w:trHeight w:val="209"/>
        </w:trPr>
        <w:tc>
          <w:tcPr>
            <w:tcW w:w="538" w:type="dxa"/>
            <w:gridSpan w:val="2"/>
            <w:vMerge/>
            <w:vAlign w:val="center"/>
          </w:tcPr>
          <w:p w14:paraId="716D4264"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0798E70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14:paraId="0FE38BD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14:paraId="2778E64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64277248" w14:textId="77777777" w:rsidR="000B797D" w:rsidRPr="00CB408F" w:rsidRDefault="000B797D" w:rsidP="00A54DAB">
            <w:pPr>
              <w:autoSpaceDE w:val="0"/>
              <w:autoSpaceDN w:val="0"/>
              <w:adjustRightInd w:val="0"/>
              <w:jc w:val="center"/>
              <w:rPr>
                <w:rFonts w:ascii="Times New Roman" w:hAnsi="Times New Roman"/>
                <w:sz w:val="24"/>
                <w:szCs w:val="24"/>
              </w:rPr>
            </w:pPr>
          </w:p>
          <w:p w14:paraId="5858265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14:paraId="48C3F747" w14:textId="77777777" w:rsidR="000B797D" w:rsidRPr="00CB408F" w:rsidRDefault="000B797D" w:rsidP="00A54DAB">
            <w:pPr>
              <w:autoSpaceDE w:val="0"/>
              <w:autoSpaceDN w:val="0"/>
              <w:adjustRightInd w:val="0"/>
              <w:jc w:val="center"/>
              <w:rPr>
                <w:rFonts w:ascii="Times New Roman" w:hAnsi="Times New Roman"/>
                <w:sz w:val="24"/>
                <w:szCs w:val="24"/>
              </w:rPr>
            </w:pPr>
          </w:p>
          <w:p w14:paraId="20F23B8E"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14:paraId="74A7E826" w14:textId="77777777" w:rsidTr="00A54DAB">
        <w:trPr>
          <w:trHeight w:val="415"/>
        </w:trPr>
        <w:tc>
          <w:tcPr>
            <w:tcW w:w="538" w:type="dxa"/>
            <w:gridSpan w:val="2"/>
            <w:vAlign w:val="center"/>
          </w:tcPr>
          <w:p w14:paraId="3F6ABFC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14:paraId="7D4D1EA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Kategorie procentowych zawartości ziaren o powierzchni </w:t>
            </w:r>
            <w:proofErr w:type="spellStart"/>
            <w:r w:rsidRPr="00CB408F">
              <w:rPr>
                <w:rFonts w:ascii="Times New Roman" w:hAnsi="Times New Roman"/>
                <w:sz w:val="24"/>
                <w:szCs w:val="24"/>
              </w:rPr>
              <w:t>przekruszonej</w:t>
            </w:r>
            <w:proofErr w:type="spellEnd"/>
            <w:r w:rsidRPr="00CB408F">
              <w:rPr>
                <w:rFonts w:ascii="Times New Roman" w:hAnsi="Times New Roman"/>
                <w:sz w:val="24"/>
                <w:szCs w:val="24"/>
              </w:rPr>
              <w:t xml:space="preserve">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14:paraId="129E8859" w14:textId="77777777" w:rsidR="000B797D" w:rsidRPr="00CB408F" w:rsidRDefault="000B797D" w:rsidP="00A54DAB">
            <w:pPr>
              <w:autoSpaceDE w:val="0"/>
              <w:autoSpaceDN w:val="0"/>
              <w:adjustRightInd w:val="0"/>
              <w:jc w:val="center"/>
              <w:rPr>
                <w:rFonts w:ascii="Times New Roman" w:hAnsi="Times New Roman"/>
                <w:sz w:val="24"/>
                <w:szCs w:val="24"/>
              </w:rPr>
            </w:pPr>
          </w:p>
          <w:p w14:paraId="66E18C7B" w14:textId="77777777" w:rsidR="000B797D" w:rsidRPr="00CB408F" w:rsidRDefault="000B797D" w:rsidP="00A54DAB">
            <w:pPr>
              <w:autoSpaceDE w:val="0"/>
              <w:autoSpaceDN w:val="0"/>
              <w:adjustRightInd w:val="0"/>
              <w:jc w:val="center"/>
              <w:rPr>
                <w:rFonts w:ascii="Times New Roman" w:hAnsi="Times New Roman"/>
                <w:sz w:val="24"/>
                <w:szCs w:val="24"/>
              </w:rPr>
            </w:pPr>
          </w:p>
          <w:p w14:paraId="75D735D4" w14:textId="77777777" w:rsidR="000B797D" w:rsidRPr="00CB408F" w:rsidRDefault="000B797D" w:rsidP="00A54DAB">
            <w:pPr>
              <w:autoSpaceDE w:val="0"/>
              <w:autoSpaceDN w:val="0"/>
              <w:adjustRightInd w:val="0"/>
              <w:jc w:val="center"/>
              <w:rPr>
                <w:rFonts w:ascii="Times New Roman" w:hAnsi="Times New Roman"/>
                <w:sz w:val="24"/>
                <w:szCs w:val="24"/>
              </w:rPr>
            </w:pPr>
          </w:p>
          <w:p w14:paraId="5C38FC7A" w14:textId="77777777" w:rsidR="000B797D" w:rsidRPr="00CB408F" w:rsidRDefault="000B797D" w:rsidP="00A54DAB">
            <w:pPr>
              <w:autoSpaceDE w:val="0"/>
              <w:autoSpaceDN w:val="0"/>
              <w:adjustRightInd w:val="0"/>
              <w:jc w:val="center"/>
              <w:rPr>
                <w:rFonts w:ascii="Times New Roman" w:hAnsi="Times New Roman"/>
                <w:sz w:val="24"/>
                <w:szCs w:val="24"/>
              </w:rPr>
            </w:pPr>
          </w:p>
          <w:p w14:paraId="113AB4E8"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14:paraId="143AE0EE" w14:textId="77777777" w:rsidR="000B797D" w:rsidRPr="00CB408F" w:rsidRDefault="000B797D" w:rsidP="00A54DAB">
            <w:pPr>
              <w:autoSpaceDE w:val="0"/>
              <w:autoSpaceDN w:val="0"/>
              <w:adjustRightInd w:val="0"/>
              <w:jc w:val="center"/>
              <w:rPr>
                <w:rFonts w:ascii="Times New Roman" w:hAnsi="Times New Roman"/>
                <w:sz w:val="24"/>
                <w:szCs w:val="24"/>
              </w:rPr>
            </w:pPr>
          </w:p>
          <w:p w14:paraId="31D3CA3A" w14:textId="77777777" w:rsidR="000B797D" w:rsidRPr="00CB408F" w:rsidRDefault="000B797D" w:rsidP="00A54DAB">
            <w:pPr>
              <w:autoSpaceDE w:val="0"/>
              <w:autoSpaceDN w:val="0"/>
              <w:adjustRightInd w:val="0"/>
              <w:jc w:val="center"/>
              <w:rPr>
                <w:rFonts w:ascii="Times New Roman" w:hAnsi="Times New Roman"/>
                <w:sz w:val="24"/>
                <w:szCs w:val="24"/>
              </w:rPr>
            </w:pPr>
          </w:p>
          <w:p w14:paraId="2501DCA7" w14:textId="77777777" w:rsidR="000B797D" w:rsidRPr="00CB408F" w:rsidRDefault="000B797D" w:rsidP="00A54DAB">
            <w:pPr>
              <w:autoSpaceDE w:val="0"/>
              <w:autoSpaceDN w:val="0"/>
              <w:adjustRightInd w:val="0"/>
              <w:jc w:val="center"/>
              <w:rPr>
                <w:rFonts w:ascii="Times New Roman" w:hAnsi="Times New Roman"/>
                <w:sz w:val="24"/>
                <w:szCs w:val="24"/>
              </w:rPr>
            </w:pPr>
          </w:p>
          <w:p w14:paraId="537AB461" w14:textId="77777777" w:rsidR="000B797D" w:rsidRPr="00CB408F" w:rsidRDefault="000B797D" w:rsidP="00A54DAB">
            <w:pPr>
              <w:autoSpaceDE w:val="0"/>
              <w:autoSpaceDN w:val="0"/>
              <w:adjustRightInd w:val="0"/>
              <w:jc w:val="center"/>
              <w:rPr>
                <w:rFonts w:ascii="Times New Roman" w:hAnsi="Times New Roman"/>
                <w:sz w:val="24"/>
                <w:szCs w:val="24"/>
              </w:rPr>
            </w:pPr>
          </w:p>
          <w:p w14:paraId="2566D28B"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14:paraId="4800313C" w14:textId="77777777" w:rsidTr="00A54DAB">
        <w:trPr>
          <w:trHeight w:val="209"/>
        </w:trPr>
        <w:tc>
          <w:tcPr>
            <w:tcW w:w="538" w:type="dxa"/>
            <w:gridSpan w:val="2"/>
            <w:vAlign w:val="center"/>
          </w:tcPr>
          <w:p w14:paraId="6881E8D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14:paraId="5ACEAE2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14:paraId="45FC593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14:paraId="7CF7C2FC"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proofErr w:type="spellStart"/>
            <w:r w:rsidRPr="00CB408F">
              <w:rPr>
                <w:rFonts w:ascii="Times New Roman" w:hAnsi="Times New Roman"/>
                <w:sz w:val="24"/>
                <w:szCs w:val="24"/>
              </w:rPr>
              <w:t>f</w:t>
            </w:r>
            <w:r w:rsidRPr="00CB408F">
              <w:rPr>
                <w:rFonts w:ascii="Times New Roman" w:hAnsi="Times New Roman"/>
                <w:sz w:val="24"/>
                <w:szCs w:val="24"/>
                <w:vertAlign w:val="subscript"/>
              </w:rPr>
              <w:t>Deklarowana</w:t>
            </w:r>
            <w:proofErr w:type="spellEnd"/>
          </w:p>
        </w:tc>
      </w:tr>
      <w:tr w:rsidR="000B797D" w:rsidRPr="00CB408F" w14:paraId="1E822018" w14:textId="77777777" w:rsidTr="00A54DAB">
        <w:trPr>
          <w:trHeight w:val="158"/>
        </w:trPr>
        <w:tc>
          <w:tcPr>
            <w:tcW w:w="538" w:type="dxa"/>
            <w:gridSpan w:val="2"/>
            <w:vAlign w:val="center"/>
          </w:tcPr>
          <w:p w14:paraId="4A6DB605" w14:textId="77777777" w:rsidR="000B797D" w:rsidRPr="00CB408F" w:rsidRDefault="000B797D" w:rsidP="00A54DAB">
            <w:pPr>
              <w:autoSpaceDE w:val="0"/>
              <w:autoSpaceDN w:val="0"/>
              <w:adjustRightInd w:val="0"/>
              <w:jc w:val="center"/>
              <w:rPr>
                <w:rFonts w:ascii="Times New Roman" w:hAnsi="Times New Roman"/>
                <w:sz w:val="24"/>
                <w:szCs w:val="24"/>
              </w:rPr>
            </w:pPr>
          </w:p>
          <w:p w14:paraId="6DECB4E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14:paraId="2CE41E7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14:paraId="467279E7"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14:paraId="30BB5A40"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14:paraId="0FFAAD42" w14:textId="77777777" w:rsidTr="00A54DAB">
        <w:trPr>
          <w:trHeight w:val="122"/>
        </w:trPr>
        <w:tc>
          <w:tcPr>
            <w:tcW w:w="538" w:type="dxa"/>
            <w:gridSpan w:val="2"/>
            <w:vAlign w:val="center"/>
          </w:tcPr>
          <w:p w14:paraId="0116003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14:paraId="4412894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14:paraId="162A5AF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14:paraId="71EF9A2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23FF2AF9" w14:textId="77777777" w:rsidTr="00A54DAB">
        <w:trPr>
          <w:trHeight w:val="209"/>
        </w:trPr>
        <w:tc>
          <w:tcPr>
            <w:tcW w:w="538" w:type="dxa"/>
            <w:gridSpan w:val="2"/>
            <w:vAlign w:val="center"/>
          </w:tcPr>
          <w:p w14:paraId="1ED568AA" w14:textId="77777777" w:rsidR="000B797D" w:rsidRPr="00CB408F" w:rsidRDefault="000B797D" w:rsidP="00A54DAB">
            <w:pPr>
              <w:autoSpaceDE w:val="0"/>
              <w:autoSpaceDN w:val="0"/>
              <w:adjustRightInd w:val="0"/>
              <w:jc w:val="center"/>
              <w:rPr>
                <w:rFonts w:ascii="Times New Roman" w:hAnsi="Times New Roman"/>
                <w:sz w:val="24"/>
                <w:szCs w:val="24"/>
              </w:rPr>
            </w:pPr>
          </w:p>
          <w:p w14:paraId="7C1CF14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14:paraId="7D607752"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14:paraId="78CE78D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14:paraId="6E7B0DD5" w14:textId="77777777" w:rsidTr="00A54DAB">
        <w:trPr>
          <w:trHeight w:val="209"/>
        </w:trPr>
        <w:tc>
          <w:tcPr>
            <w:tcW w:w="538" w:type="dxa"/>
            <w:gridSpan w:val="2"/>
            <w:vAlign w:val="center"/>
          </w:tcPr>
          <w:p w14:paraId="0F205BF7" w14:textId="77777777" w:rsidR="000B797D" w:rsidRPr="00CB408F" w:rsidRDefault="000B797D" w:rsidP="00A54DAB">
            <w:pPr>
              <w:autoSpaceDE w:val="0"/>
              <w:autoSpaceDN w:val="0"/>
              <w:adjustRightInd w:val="0"/>
              <w:jc w:val="center"/>
              <w:rPr>
                <w:rFonts w:ascii="Times New Roman" w:hAnsi="Times New Roman"/>
                <w:sz w:val="24"/>
                <w:szCs w:val="24"/>
              </w:rPr>
            </w:pPr>
          </w:p>
          <w:p w14:paraId="6774CD7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14:paraId="06FB8463"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14:paraId="7A126CE1"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14:paraId="2FE7E64E" w14:textId="77777777"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14:paraId="62FDA9D1" w14:textId="77777777" w:rsidTr="00A54DAB">
        <w:trPr>
          <w:trHeight w:val="209"/>
        </w:trPr>
        <w:tc>
          <w:tcPr>
            <w:tcW w:w="538" w:type="dxa"/>
            <w:gridSpan w:val="2"/>
            <w:vAlign w:val="center"/>
          </w:tcPr>
          <w:p w14:paraId="01CE99D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14:paraId="6DF1AC4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14:paraId="6B6BA07F"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14:paraId="1AF9249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14:paraId="467A6400" w14:textId="77777777" w:rsidTr="00A54DAB">
        <w:trPr>
          <w:trHeight w:val="158"/>
        </w:trPr>
        <w:tc>
          <w:tcPr>
            <w:tcW w:w="538" w:type="dxa"/>
            <w:gridSpan w:val="2"/>
            <w:vAlign w:val="center"/>
          </w:tcPr>
          <w:p w14:paraId="3868A58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14:paraId="21A2BD0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14:paraId="7B3B7E7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14:paraId="346FF79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14:paraId="53C7E6F9" w14:textId="77777777" w:rsidTr="00A54DAB">
        <w:trPr>
          <w:trHeight w:val="209"/>
        </w:trPr>
        <w:tc>
          <w:tcPr>
            <w:tcW w:w="538" w:type="dxa"/>
            <w:gridSpan w:val="2"/>
            <w:vAlign w:val="center"/>
          </w:tcPr>
          <w:p w14:paraId="605B2F6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14:paraId="2536C01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14:paraId="4072F563"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14:paraId="153CAD0F"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14:paraId="076024A5" w14:textId="77777777" w:rsidTr="00A54DAB">
        <w:trPr>
          <w:trHeight w:val="209"/>
        </w:trPr>
        <w:tc>
          <w:tcPr>
            <w:tcW w:w="538" w:type="dxa"/>
            <w:gridSpan w:val="2"/>
            <w:vAlign w:val="center"/>
          </w:tcPr>
          <w:p w14:paraId="36F4C615" w14:textId="77777777" w:rsidR="000B797D" w:rsidRPr="00CB408F" w:rsidRDefault="000B797D" w:rsidP="00A54DAB">
            <w:pPr>
              <w:autoSpaceDE w:val="0"/>
              <w:autoSpaceDN w:val="0"/>
              <w:adjustRightInd w:val="0"/>
              <w:jc w:val="center"/>
              <w:rPr>
                <w:rFonts w:ascii="Times New Roman" w:hAnsi="Times New Roman"/>
                <w:sz w:val="24"/>
                <w:szCs w:val="24"/>
              </w:rPr>
            </w:pPr>
          </w:p>
          <w:p w14:paraId="675FF57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14:paraId="6759786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14:paraId="6E6DDA6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2DE940A2" w14:textId="77777777" w:rsidTr="00A54DAB">
        <w:trPr>
          <w:trHeight w:val="209"/>
        </w:trPr>
        <w:tc>
          <w:tcPr>
            <w:tcW w:w="538" w:type="dxa"/>
            <w:gridSpan w:val="2"/>
            <w:vAlign w:val="center"/>
          </w:tcPr>
          <w:p w14:paraId="0E6A7A3A" w14:textId="77777777" w:rsidR="000B797D" w:rsidRPr="00CB408F" w:rsidRDefault="000B797D" w:rsidP="00A54DAB">
            <w:pPr>
              <w:autoSpaceDE w:val="0"/>
              <w:autoSpaceDN w:val="0"/>
              <w:adjustRightInd w:val="0"/>
              <w:jc w:val="center"/>
              <w:rPr>
                <w:rFonts w:ascii="Times New Roman" w:hAnsi="Times New Roman"/>
                <w:sz w:val="24"/>
                <w:szCs w:val="24"/>
              </w:rPr>
            </w:pPr>
          </w:p>
          <w:p w14:paraId="25DFC3F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14:paraId="146D736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14:paraId="45F0473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75636048" w14:textId="77777777" w:rsidTr="00A54DAB">
        <w:trPr>
          <w:trHeight w:val="312"/>
        </w:trPr>
        <w:tc>
          <w:tcPr>
            <w:tcW w:w="538" w:type="dxa"/>
            <w:gridSpan w:val="2"/>
            <w:vAlign w:val="center"/>
          </w:tcPr>
          <w:p w14:paraId="6861420B" w14:textId="77777777" w:rsidR="000B797D" w:rsidRPr="00CB408F" w:rsidRDefault="000B797D" w:rsidP="00A54DAB">
            <w:pPr>
              <w:autoSpaceDE w:val="0"/>
              <w:autoSpaceDN w:val="0"/>
              <w:adjustRightInd w:val="0"/>
              <w:jc w:val="center"/>
              <w:rPr>
                <w:rFonts w:ascii="Times New Roman" w:hAnsi="Times New Roman"/>
                <w:sz w:val="24"/>
                <w:szCs w:val="24"/>
              </w:rPr>
            </w:pPr>
          </w:p>
          <w:p w14:paraId="762F8CD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14:paraId="193BF79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14:paraId="2C95442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14:paraId="474A810C" w14:textId="77777777" w:rsidTr="00A54DAB">
        <w:trPr>
          <w:trHeight w:val="415"/>
        </w:trPr>
        <w:tc>
          <w:tcPr>
            <w:tcW w:w="538" w:type="dxa"/>
            <w:gridSpan w:val="2"/>
            <w:vAlign w:val="center"/>
          </w:tcPr>
          <w:p w14:paraId="00719023" w14:textId="77777777" w:rsidR="000B797D" w:rsidRPr="00CB408F" w:rsidRDefault="000B797D" w:rsidP="00A54DAB">
            <w:pPr>
              <w:autoSpaceDE w:val="0"/>
              <w:autoSpaceDN w:val="0"/>
              <w:adjustRightInd w:val="0"/>
              <w:jc w:val="center"/>
              <w:rPr>
                <w:rFonts w:ascii="Times New Roman" w:hAnsi="Times New Roman"/>
                <w:sz w:val="24"/>
                <w:szCs w:val="24"/>
              </w:rPr>
            </w:pPr>
          </w:p>
          <w:p w14:paraId="1FB34A6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14:paraId="3C3B5540" w14:textId="77777777"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14:paraId="4B423DD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14:paraId="65B5EA69" w14:textId="77777777" w:rsidTr="00A54DAB">
        <w:trPr>
          <w:trHeight w:val="209"/>
        </w:trPr>
        <w:tc>
          <w:tcPr>
            <w:tcW w:w="538" w:type="dxa"/>
            <w:gridSpan w:val="2"/>
            <w:vAlign w:val="center"/>
          </w:tcPr>
          <w:p w14:paraId="10458872" w14:textId="77777777" w:rsidR="000B797D" w:rsidRPr="00CB408F" w:rsidRDefault="000B797D" w:rsidP="00A54DAB">
            <w:pPr>
              <w:autoSpaceDE w:val="0"/>
              <w:autoSpaceDN w:val="0"/>
              <w:adjustRightInd w:val="0"/>
              <w:jc w:val="center"/>
              <w:rPr>
                <w:rFonts w:ascii="Times New Roman" w:hAnsi="Times New Roman"/>
                <w:sz w:val="24"/>
                <w:szCs w:val="24"/>
                <w:lang w:val="da-DK"/>
              </w:rPr>
            </w:pPr>
          </w:p>
          <w:p w14:paraId="56904425"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14:paraId="77932B4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14:paraId="63EF91C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14:paraId="78B8D45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14:paraId="31D7753D" w14:textId="77777777" w:rsidTr="00A54DAB">
        <w:trPr>
          <w:trHeight w:val="209"/>
        </w:trPr>
        <w:tc>
          <w:tcPr>
            <w:tcW w:w="538" w:type="dxa"/>
            <w:gridSpan w:val="2"/>
            <w:vAlign w:val="center"/>
          </w:tcPr>
          <w:p w14:paraId="0EEEA6F9" w14:textId="77777777" w:rsidR="000B797D" w:rsidRPr="00CB408F" w:rsidRDefault="000B797D" w:rsidP="00A54DAB">
            <w:pPr>
              <w:autoSpaceDE w:val="0"/>
              <w:autoSpaceDN w:val="0"/>
              <w:adjustRightInd w:val="0"/>
              <w:jc w:val="center"/>
              <w:rPr>
                <w:rFonts w:ascii="Times New Roman" w:hAnsi="Times New Roman"/>
                <w:sz w:val="24"/>
                <w:szCs w:val="24"/>
              </w:rPr>
            </w:pPr>
          </w:p>
          <w:p w14:paraId="7488565A"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14:paraId="2D65A7D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14:paraId="2FE5BC2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1B6FE91B"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14:paraId="2F4E687B"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14:paraId="6E0B0EF2" w14:textId="77777777"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14:paraId="39495911"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14:paraId="4DEAC475"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14:paraId="427F89D5" w14:textId="77777777"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14:paraId="459EDD0C" w14:textId="77777777" w:rsidTr="00A54DAB">
        <w:trPr>
          <w:trHeight w:val="379"/>
        </w:trPr>
        <w:tc>
          <w:tcPr>
            <w:tcW w:w="538" w:type="dxa"/>
            <w:gridSpan w:val="2"/>
            <w:vAlign w:val="center"/>
          </w:tcPr>
          <w:p w14:paraId="31B97C3A"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14:paraId="33DF9975"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14:paraId="240EF5EC"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14:paraId="6CFD1F1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14:paraId="5F0CCD20" w14:textId="77777777" w:rsidTr="00A54DAB">
        <w:tblPrEx>
          <w:tblCellMar>
            <w:left w:w="70" w:type="dxa"/>
            <w:right w:w="70" w:type="dxa"/>
          </w:tblCellMar>
        </w:tblPrEx>
        <w:trPr>
          <w:gridBefore w:val="1"/>
          <w:wBefore w:w="6" w:type="dxa"/>
          <w:trHeight w:val="379"/>
        </w:trPr>
        <w:tc>
          <w:tcPr>
            <w:tcW w:w="12541" w:type="dxa"/>
            <w:gridSpan w:val="4"/>
            <w:vAlign w:val="center"/>
          </w:tcPr>
          <w:p w14:paraId="7A92DC9D"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14:paraId="6F266945"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14:paraId="2FA16E2F"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14:paraId="09262C7B" w14:textId="77777777" w:rsidR="000B797D" w:rsidRPr="00CB408F" w:rsidRDefault="000B797D" w:rsidP="000B797D">
      <w:pPr>
        <w:jc w:val="both"/>
        <w:rPr>
          <w:rFonts w:ascii="Times New Roman" w:hAnsi="Times New Roman"/>
          <w:sz w:val="24"/>
          <w:szCs w:val="24"/>
        </w:rPr>
      </w:pPr>
    </w:p>
    <w:p w14:paraId="188514B9" w14:textId="77777777" w:rsidR="000B797D" w:rsidRPr="00CB408F" w:rsidRDefault="000B797D" w:rsidP="000B797D">
      <w:pPr>
        <w:jc w:val="both"/>
        <w:rPr>
          <w:rFonts w:ascii="Times New Roman" w:hAnsi="Times New Roman"/>
          <w:sz w:val="24"/>
          <w:szCs w:val="24"/>
        </w:rPr>
      </w:pPr>
    </w:p>
    <w:p w14:paraId="4478ACDD" w14:textId="77777777" w:rsidR="000B797D" w:rsidRPr="00CB408F" w:rsidRDefault="000B797D" w:rsidP="000B797D">
      <w:pPr>
        <w:jc w:val="both"/>
        <w:rPr>
          <w:rFonts w:ascii="Times New Roman" w:hAnsi="Times New Roman"/>
          <w:sz w:val="24"/>
          <w:szCs w:val="24"/>
        </w:rPr>
      </w:pPr>
    </w:p>
    <w:p w14:paraId="648C61D7" w14:textId="77777777" w:rsidR="000B797D" w:rsidRPr="00CB408F" w:rsidRDefault="000B797D" w:rsidP="000B797D">
      <w:pPr>
        <w:jc w:val="both"/>
        <w:rPr>
          <w:rFonts w:ascii="Times New Roman" w:hAnsi="Times New Roman"/>
          <w:sz w:val="24"/>
          <w:szCs w:val="24"/>
        </w:rPr>
      </w:pPr>
    </w:p>
    <w:p w14:paraId="789260D9"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14:paraId="229A6CA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6"/>
      <w:r w:rsidRPr="00CB408F">
        <w:rPr>
          <w:rFonts w:ascii="Times New Roman" w:hAnsi="Times New Roman" w:cs="Times New Roman"/>
          <w:b/>
          <w:color w:val="auto"/>
          <w:sz w:val="24"/>
          <w:szCs w:val="24"/>
        </w:rPr>
        <w:lastRenderedPageBreak/>
        <w:t>Woda</w:t>
      </w:r>
      <w:bookmarkEnd w:id="19"/>
    </w:p>
    <w:p w14:paraId="19480ED4" w14:textId="77777777"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14:paraId="7C6D96A8" w14:textId="77777777"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14:paraId="13399B5A"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14:paraId="240989F6" w14:textId="77777777"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firstRow="0" w:lastRow="0" w:firstColumn="0" w:lastColumn="0" w:noHBand="0" w:noVBand="0"/>
      </w:tblPr>
      <w:tblGrid>
        <w:gridCol w:w="289"/>
        <w:gridCol w:w="5298"/>
        <w:gridCol w:w="1789"/>
      </w:tblGrid>
      <w:tr w:rsidR="00C6468E" w:rsidRPr="00CB408F" w14:paraId="3438FAC2" w14:textId="77777777"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1CFE7A09"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699C72AD" w14:textId="77777777"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31E834A9"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14:paraId="59DE21FB" w14:textId="77777777"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14:paraId="08F8A345"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14:paraId="459C49C9"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14:paraId="17C774F2" w14:textId="77777777" w:rsidR="00C6468E" w:rsidRPr="00CB408F" w:rsidRDefault="00C6468E" w:rsidP="00464592">
            <w:pPr>
              <w:jc w:val="center"/>
              <w:rPr>
                <w:rFonts w:ascii="Times New Roman" w:hAnsi="Times New Roman"/>
                <w:sz w:val="18"/>
                <w:szCs w:val="18"/>
              </w:rPr>
            </w:pPr>
          </w:p>
        </w:tc>
      </w:tr>
      <w:tr w:rsidR="00C6468E" w:rsidRPr="00CB408F" w14:paraId="2177EFD0" w14:textId="77777777" w:rsidTr="00464592">
        <w:trPr>
          <w:trHeight w:val="206"/>
        </w:trPr>
        <w:tc>
          <w:tcPr>
            <w:tcW w:w="289" w:type="dxa"/>
            <w:tcBorders>
              <w:top w:val="nil"/>
              <w:left w:val="single" w:sz="4" w:space="0" w:color="auto"/>
              <w:bottom w:val="nil"/>
              <w:right w:val="single" w:sz="4" w:space="0" w:color="auto"/>
            </w:tcBorders>
            <w:shd w:val="clear" w:color="auto" w:fill="FFFFFF"/>
          </w:tcPr>
          <w:p w14:paraId="39CA919F"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2B4148C5"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14:paraId="02917667"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19FA58F6"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1137C05B"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22DB199C"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14:paraId="4A723224"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D0751F5" w14:textId="77777777"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14:paraId="34338C97"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38A551A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14:paraId="393B2500"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3674D548" w14:textId="77777777"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0CDFFF7F"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0859564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66506D0F"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14:paraId="7EFE846E" w14:textId="77777777"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14:paraId="3B26F629"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14:paraId="60BE55EA"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14:paraId="00F2D5BE" w14:textId="77777777" w:rsidR="00C6468E" w:rsidRPr="00CB408F" w:rsidRDefault="00C6468E" w:rsidP="00464592">
            <w:pPr>
              <w:jc w:val="center"/>
              <w:rPr>
                <w:rFonts w:ascii="Times New Roman" w:hAnsi="Times New Roman"/>
                <w:sz w:val="18"/>
                <w:szCs w:val="18"/>
              </w:rPr>
            </w:pPr>
          </w:p>
        </w:tc>
      </w:tr>
      <w:tr w:rsidR="00C6468E" w:rsidRPr="00CB408F" w14:paraId="4BB0A5C0"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052B68D3"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6D612537"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14:paraId="42DDA285"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14:paraId="53EF2B11" w14:textId="77777777"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14:paraId="52D3A3FF"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1C474109"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14:paraId="7496B01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14:paraId="5D91E614" w14:textId="77777777"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1953FF9F"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46824570"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0EAEA8E4"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14:paraId="41347065" w14:textId="77777777"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14:paraId="13C8B872"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14:paraId="1658BA85" w14:textId="77777777" w:rsidR="00C6468E" w:rsidRPr="00CB408F" w:rsidRDefault="00C6468E" w:rsidP="00C6468E">
      <w:pPr>
        <w:spacing w:before="120" w:after="120"/>
        <w:jc w:val="both"/>
        <w:rPr>
          <w:rFonts w:ascii="Times New Roman" w:hAnsi="Times New Roman"/>
          <w:sz w:val="24"/>
          <w:szCs w:val="24"/>
        </w:rPr>
      </w:pPr>
    </w:p>
    <w:p w14:paraId="64F83045"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0" w:name="_Toc346191037"/>
      <w:r w:rsidRPr="00CB408F">
        <w:rPr>
          <w:rFonts w:ascii="Times New Roman" w:hAnsi="Times New Roman" w:cs="Times New Roman"/>
          <w:b/>
          <w:color w:val="auto"/>
          <w:sz w:val="24"/>
          <w:szCs w:val="24"/>
        </w:rPr>
        <w:t>Specyfikacja mieszanek</w:t>
      </w:r>
      <w:bookmarkEnd w:id="20"/>
    </w:p>
    <w:p w14:paraId="2060AA80"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1" w:name="_Toc346191038"/>
      <w:r w:rsidRPr="00CB408F">
        <w:rPr>
          <w:rFonts w:ascii="Times New Roman" w:hAnsi="Times New Roman" w:cs="Times New Roman"/>
          <w:b/>
          <w:color w:val="auto"/>
          <w:sz w:val="24"/>
          <w:szCs w:val="24"/>
        </w:rPr>
        <w:t>Przeznaczenie</w:t>
      </w:r>
      <w:bookmarkEnd w:id="21"/>
    </w:p>
    <w:p w14:paraId="3779A566" w14:textId="77777777" w:rsidR="000B797D" w:rsidRPr="00CB408F" w:rsidRDefault="000B797D" w:rsidP="000B797D">
      <w:pPr>
        <w:jc w:val="both"/>
        <w:rPr>
          <w:rFonts w:ascii="Times New Roman" w:hAnsi="Times New Roman"/>
          <w:sz w:val="24"/>
          <w:szCs w:val="24"/>
        </w:rPr>
      </w:pPr>
      <w:bookmarkStart w:id="22" w:name="_Toc223234203"/>
      <w:r w:rsidRPr="00CB408F">
        <w:rPr>
          <w:rFonts w:ascii="Times New Roman" w:hAnsi="Times New Roman"/>
          <w:sz w:val="24"/>
          <w:szCs w:val="24"/>
        </w:rPr>
        <w:t xml:space="preserve">Mieszanki niezwiązane mogą być stosowane do warstw podbudowy zasadniczej przenoszących ruch kategorii od KR1 do KR7. </w:t>
      </w:r>
    </w:p>
    <w:p w14:paraId="50CB1D09"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3" w:name="_Toc346191039"/>
      <w:bookmarkEnd w:id="22"/>
      <w:r w:rsidRPr="00CB408F">
        <w:rPr>
          <w:rFonts w:ascii="Times New Roman" w:hAnsi="Times New Roman" w:cs="Times New Roman"/>
          <w:b/>
          <w:color w:val="auto"/>
          <w:sz w:val="24"/>
          <w:szCs w:val="24"/>
        </w:rPr>
        <w:t>Projektowanie składu mieszanek</w:t>
      </w:r>
      <w:bookmarkEnd w:id="23"/>
    </w:p>
    <w:p w14:paraId="1B25BA17" w14:textId="77777777" w:rsidR="000B797D" w:rsidRPr="00CB408F" w:rsidRDefault="000B797D" w:rsidP="000B797D">
      <w:pPr>
        <w:jc w:val="both"/>
        <w:rPr>
          <w:rFonts w:ascii="Times New Roman" w:hAnsi="Times New Roman"/>
          <w:sz w:val="24"/>
          <w:szCs w:val="24"/>
        </w:rPr>
      </w:pPr>
      <w:bookmarkStart w:id="24" w:name="_Toc223234206"/>
      <w:r w:rsidRPr="00CB408F">
        <w:rPr>
          <w:rFonts w:ascii="Times New Roman" w:hAnsi="Times New Roman"/>
          <w:sz w:val="24"/>
          <w:szCs w:val="24"/>
        </w:rPr>
        <w:t xml:space="preserve">Procedura projektowania powinna być oparta na próbach laboratoryjnych. </w:t>
      </w:r>
      <w:bookmarkEnd w:id="24"/>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14:paraId="1160B35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14:paraId="45CCBFCF"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5" w:name="_Toc346191041"/>
      <w:r w:rsidRPr="00CB408F">
        <w:rPr>
          <w:rFonts w:ascii="Times New Roman" w:hAnsi="Times New Roman" w:cs="Times New Roman"/>
          <w:b/>
          <w:color w:val="auto"/>
          <w:sz w:val="24"/>
          <w:szCs w:val="24"/>
        </w:rPr>
        <w:t>Wartości graniczne i tolerancje</w:t>
      </w:r>
      <w:bookmarkEnd w:id="25"/>
    </w:p>
    <w:p w14:paraId="5AE752A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14:paraId="775B6E97"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2"/>
      <w:r w:rsidRPr="00CB408F">
        <w:rPr>
          <w:rFonts w:ascii="Times New Roman" w:hAnsi="Times New Roman" w:cs="Times New Roman"/>
          <w:b/>
          <w:color w:val="auto"/>
          <w:sz w:val="24"/>
          <w:szCs w:val="24"/>
        </w:rPr>
        <w:t>Mieszanki kruszywa</w:t>
      </w:r>
      <w:bookmarkEnd w:id="26"/>
    </w:p>
    <w:p w14:paraId="09AE9C75"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14:paraId="0AB4E2E3"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14:paraId="5870E2A6"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9"/>
      <w:r w:rsidRPr="00CB408F">
        <w:rPr>
          <w:rFonts w:ascii="Times New Roman" w:hAnsi="Times New Roman" w:cs="Times New Roman"/>
          <w:b/>
          <w:color w:val="auto"/>
          <w:sz w:val="24"/>
          <w:szCs w:val="24"/>
        </w:rPr>
        <w:t>Wymagane właściwości mieszanki niezwiązanej do podbudowy zasadniczej</w:t>
      </w:r>
      <w:bookmarkEnd w:id="27"/>
    </w:p>
    <w:p w14:paraId="7DB3DF61"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8" w:name="_Toc346191050"/>
      <w:r w:rsidRPr="00CB408F">
        <w:rPr>
          <w:rFonts w:ascii="Times New Roman" w:hAnsi="Times New Roman" w:cs="Times New Roman"/>
          <w:b/>
          <w:color w:val="auto"/>
          <w:sz w:val="24"/>
          <w:szCs w:val="24"/>
        </w:rPr>
        <w:t>Postanowienia ogólne</w:t>
      </w:r>
      <w:bookmarkEnd w:id="28"/>
    </w:p>
    <w:p w14:paraId="788D8DB6"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14:paraId="69827A86"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1"/>
      <w:r w:rsidRPr="00CB408F">
        <w:rPr>
          <w:rFonts w:ascii="Times New Roman" w:hAnsi="Times New Roman" w:cs="Times New Roman"/>
          <w:b/>
          <w:color w:val="auto"/>
          <w:sz w:val="24"/>
          <w:szCs w:val="24"/>
        </w:rPr>
        <w:t>Uziarnienie</w:t>
      </w:r>
      <w:bookmarkEnd w:id="29"/>
    </w:p>
    <w:p w14:paraId="4DA346D0"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14:paraId="0BE07521" w14:textId="77777777"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14:paraId="3CFA251E" w14:textId="77777777"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14:anchorId="6CEE5DF3" wp14:editId="0F97332F">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14:paraId="636EB73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14:paraId="29782947" w14:textId="77777777"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2"/>
        <w:gridCol w:w="791"/>
        <w:gridCol w:w="791"/>
        <w:gridCol w:w="791"/>
        <w:gridCol w:w="791"/>
        <w:gridCol w:w="694"/>
        <w:gridCol w:w="690"/>
        <w:gridCol w:w="888"/>
        <w:gridCol w:w="791"/>
        <w:gridCol w:w="791"/>
        <w:gridCol w:w="750"/>
      </w:tblGrid>
      <w:tr w:rsidR="000B797D" w:rsidRPr="00CB408F" w14:paraId="07DF0E18" w14:textId="77777777" w:rsidTr="00A54DAB">
        <w:trPr>
          <w:cantSplit/>
          <w:trHeight w:val="251"/>
        </w:trPr>
        <w:tc>
          <w:tcPr>
            <w:tcW w:w="1582" w:type="dxa"/>
            <w:vMerge w:val="restart"/>
          </w:tcPr>
          <w:p w14:paraId="01D45047" w14:textId="77777777"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14:paraId="49187235"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14:paraId="49E240DC"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14:paraId="729CAE2C" w14:textId="77777777" w:rsidTr="00A54DAB">
        <w:trPr>
          <w:cantSplit/>
          <w:trHeight w:val="67"/>
        </w:trPr>
        <w:tc>
          <w:tcPr>
            <w:tcW w:w="1582" w:type="dxa"/>
            <w:vMerge/>
          </w:tcPr>
          <w:p w14:paraId="132C5DDA" w14:textId="77777777" w:rsidR="000B797D" w:rsidRPr="00CB408F" w:rsidRDefault="000B797D" w:rsidP="00A54DAB">
            <w:pPr>
              <w:jc w:val="both"/>
              <w:rPr>
                <w:rFonts w:ascii="Times New Roman" w:hAnsi="Times New Roman"/>
                <w:sz w:val="24"/>
                <w:szCs w:val="24"/>
              </w:rPr>
            </w:pPr>
          </w:p>
        </w:tc>
        <w:tc>
          <w:tcPr>
            <w:tcW w:w="791" w:type="dxa"/>
            <w:vAlign w:val="center"/>
          </w:tcPr>
          <w:p w14:paraId="28193157"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14:paraId="69869279"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14:paraId="6AAE0AD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14:paraId="31E1CC1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14:paraId="3E606CB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14:paraId="1437B62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14:paraId="38547BF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14:paraId="1C24A599"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14:paraId="44F1A384"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14:paraId="051ADCF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14:paraId="2E04D239" w14:textId="77777777" w:rsidTr="00A54DAB">
        <w:trPr>
          <w:trHeight w:val="300"/>
        </w:trPr>
        <w:tc>
          <w:tcPr>
            <w:tcW w:w="1582" w:type="dxa"/>
          </w:tcPr>
          <w:p w14:paraId="7FD2CD22" w14:textId="77777777"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14:paraId="55149AFE"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128AF60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780DA97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14:paraId="3F2AE6D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14:paraId="6BE5966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14:paraId="61C7A2E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14:paraId="42C1DF8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14:paraId="22A8DC7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14:paraId="431E9154" w14:textId="77777777" w:rsidR="000B797D" w:rsidRPr="00CB408F" w:rsidRDefault="000B797D" w:rsidP="00A54DAB">
            <w:pPr>
              <w:spacing w:before="120"/>
              <w:jc w:val="center"/>
              <w:rPr>
                <w:rFonts w:ascii="Times New Roman" w:hAnsi="Times New Roman"/>
                <w:sz w:val="24"/>
                <w:szCs w:val="24"/>
              </w:rPr>
            </w:pPr>
          </w:p>
        </w:tc>
        <w:tc>
          <w:tcPr>
            <w:tcW w:w="749" w:type="dxa"/>
            <w:vAlign w:val="center"/>
          </w:tcPr>
          <w:p w14:paraId="06BA2407" w14:textId="77777777" w:rsidR="000B797D" w:rsidRPr="00CB408F" w:rsidRDefault="000B797D" w:rsidP="00A54DAB">
            <w:pPr>
              <w:spacing w:before="120"/>
              <w:jc w:val="center"/>
              <w:rPr>
                <w:rFonts w:ascii="Times New Roman" w:hAnsi="Times New Roman"/>
                <w:sz w:val="24"/>
                <w:szCs w:val="24"/>
              </w:rPr>
            </w:pPr>
          </w:p>
        </w:tc>
      </w:tr>
    </w:tbl>
    <w:p w14:paraId="0A019898"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14:paraId="7A47C86C" w14:textId="77777777"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14:paraId="2EE0C2D5" w14:textId="77777777"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2003"/>
        <w:gridCol w:w="1206"/>
        <w:gridCol w:w="1004"/>
        <w:gridCol w:w="1005"/>
        <w:gridCol w:w="1206"/>
        <w:gridCol w:w="804"/>
        <w:gridCol w:w="804"/>
        <w:gridCol w:w="829"/>
        <w:gridCol w:w="775"/>
      </w:tblGrid>
      <w:tr w:rsidR="000B797D" w:rsidRPr="00CB408F" w14:paraId="6B51481C" w14:textId="77777777" w:rsidTr="00A54DAB">
        <w:trPr>
          <w:cantSplit/>
          <w:trHeight w:val="221"/>
        </w:trPr>
        <w:tc>
          <w:tcPr>
            <w:tcW w:w="2003" w:type="dxa"/>
            <w:vMerge w:val="restart"/>
          </w:tcPr>
          <w:p w14:paraId="7F9F38E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14:paraId="1A57A3E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14:paraId="2F36C92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14:paraId="63D0A667"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14:paraId="568C9C34"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14:paraId="1F1C52F0" w14:textId="77777777" w:rsidTr="00A54DAB">
        <w:trPr>
          <w:cantSplit/>
          <w:trHeight w:val="189"/>
        </w:trPr>
        <w:tc>
          <w:tcPr>
            <w:tcW w:w="2003" w:type="dxa"/>
            <w:vMerge/>
          </w:tcPr>
          <w:p w14:paraId="2848567B" w14:textId="77777777" w:rsidR="000B797D" w:rsidRPr="00CB408F" w:rsidRDefault="000B797D" w:rsidP="00A54DAB">
            <w:pPr>
              <w:jc w:val="both"/>
              <w:rPr>
                <w:rFonts w:ascii="Times New Roman" w:hAnsi="Times New Roman"/>
                <w:sz w:val="24"/>
                <w:szCs w:val="24"/>
              </w:rPr>
            </w:pPr>
          </w:p>
        </w:tc>
        <w:tc>
          <w:tcPr>
            <w:tcW w:w="1206" w:type="dxa"/>
          </w:tcPr>
          <w:p w14:paraId="7A2A6D5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14:paraId="48B1BFC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14:paraId="66181EF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14:paraId="466907D4"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14:paraId="465E33E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14:paraId="26F9B6E7" w14:textId="77777777"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14:paraId="54EA862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14:paraId="442A200C"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14:paraId="7046B412" w14:textId="77777777" w:rsidTr="00A54DAB">
        <w:trPr>
          <w:trHeight w:val="432"/>
        </w:trPr>
        <w:tc>
          <w:tcPr>
            <w:tcW w:w="2003" w:type="dxa"/>
          </w:tcPr>
          <w:p w14:paraId="1CA68E3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14:paraId="3CAAA354"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14:paraId="7948B51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14:paraId="7557281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14:paraId="2BA8D464"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14:paraId="06E8CD6F"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14:paraId="2C1DCB48"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14:paraId="0E0C463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14:paraId="07EED3F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14:paraId="637714B7" w14:textId="77777777"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14:paraId="6A62AC2F"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firstRow="0" w:lastRow="0" w:firstColumn="0" w:lastColumn="0" w:noHBand="0" w:noVBand="0"/>
      </w:tblPr>
      <w:tblGrid>
        <w:gridCol w:w="707"/>
        <w:gridCol w:w="4546"/>
        <w:gridCol w:w="4666"/>
        <w:gridCol w:w="4820"/>
      </w:tblGrid>
      <w:tr w:rsidR="000B797D" w:rsidRPr="00CB408F" w14:paraId="62745CA1" w14:textId="77777777"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14:paraId="66748301" w14:textId="77777777" w:rsidR="000B797D" w:rsidRPr="00CB408F" w:rsidRDefault="000B797D" w:rsidP="00A54DAB">
            <w:pPr>
              <w:autoSpaceDE w:val="0"/>
              <w:autoSpaceDN w:val="0"/>
              <w:adjustRightInd w:val="0"/>
              <w:jc w:val="center"/>
              <w:rPr>
                <w:rFonts w:ascii="Times New Roman" w:hAnsi="Times New Roman"/>
                <w:sz w:val="24"/>
                <w:szCs w:val="24"/>
              </w:rPr>
            </w:pPr>
          </w:p>
          <w:p w14:paraId="1ED2A7D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14:paraId="127D9AD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77AA7C6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14:paraId="6A103601" w14:textId="77777777"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14:paraId="25127038"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4F67E51E" w14:textId="77777777"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5FCD826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14:paraId="140E7C92" w14:textId="77777777"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14:paraId="0AF4B1FD"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685CE06B" w14:textId="77777777"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14:paraId="4E1A5A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14:paraId="641BA82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233F1DC2" w14:textId="77777777"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14:paraId="0ACD9A7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14:paraId="0CAAE41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14:paraId="12FD876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14:paraId="57615D76"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4765519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14:paraId="14F753C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F56289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14:paraId="4D0DE7EF"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4D4B61E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14:paraId="5FF7427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2BBEAD5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14:paraId="1C0EA3A5"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29878E2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14:paraId="5065F95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31C344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14:paraId="56251DDB"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78A8C39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14:paraId="7D6438B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08E1B68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14:paraId="33E90C61"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68F7443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14:paraId="7100837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3BBF45E4" w14:textId="77777777"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14:paraId="264E7A8D"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0E8CA2D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14:paraId="444F84B2"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39A266CC" w14:textId="77777777"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14:paraId="04776237" w14:textId="77777777" w:rsidTr="00A54DAB">
        <w:trPr>
          <w:trHeight w:val="209"/>
        </w:trPr>
        <w:tc>
          <w:tcPr>
            <w:tcW w:w="240" w:type="pct"/>
            <w:tcBorders>
              <w:top w:val="single" w:sz="6" w:space="0" w:color="auto"/>
              <w:left w:val="single" w:sz="4" w:space="0" w:color="auto"/>
              <w:right w:val="single" w:sz="4" w:space="0" w:color="auto"/>
            </w:tcBorders>
            <w:vAlign w:val="center"/>
          </w:tcPr>
          <w:p w14:paraId="2BC02FEB" w14:textId="77777777" w:rsidR="000B797D" w:rsidRPr="00CB408F" w:rsidRDefault="000B797D" w:rsidP="00A54DAB">
            <w:pPr>
              <w:autoSpaceDE w:val="0"/>
              <w:autoSpaceDN w:val="0"/>
              <w:adjustRightInd w:val="0"/>
              <w:jc w:val="center"/>
              <w:rPr>
                <w:rFonts w:ascii="Times New Roman" w:hAnsi="Times New Roman"/>
                <w:sz w:val="24"/>
                <w:szCs w:val="24"/>
              </w:rPr>
            </w:pPr>
          </w:p>
          <w:p w14:paraId="06FB02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14:paraId="66A6F6F7"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w:t>
            </w:r>
            <w:proofErr w:type="spellStart"/>
            <w:r w:rsidR="00506533" w:rsidRPr="00CB408F">
              <w:rPr>
                <w:rFonts w:ascii="Times New Roman" w:hAnsi="Times New Roman"/>
                <w:color w:val="000000"/>
                <w:sz w:val="24"/>
                <w:szCs w:val="24"/>
              </w:rPr>
              <w:t>przekruszeniu</w:t>
            </w:r>
            <w:proofErr w:type="spellEnd"/>
            <w:r w:rsidR="00506533" w:rsidRPr="00CB408F">
              <w:rPr>
                <w:rFonts w:ascii="Times New Roman" w:hAnsi="Times New Roman"/>
                <w:color w:val="000000"/>
                <w:sz w:val="24"/>
                <w:szCs w:val="24"/>
              </w:rPr>
              <w:t xml:space="preserve">,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proofErr w:type="spellStart"/>
            <w:r w:rsidRPr="00CB408F">
              <w:rPr>
                <w:rFonts w:ascii="Times New Roman" w:hAnsi="Times New Roman"/>
                <w:sz w:val="24"/>
                <w:szCs w:val="24"/>
              </w:rPr>
              <w:lastRenderedPageBreak/>
              <w:t>Proctora</w:t>
            </w:r>
            <w:proofErr w:type="spellEnd"/>
            <w:r w:rsidRPr="00CB408F">
              <w:rPr>
                <w:rFonts w:ascii="Times New Roman" w:hAnsi="Times New Roman"/>
                <w:sz w:val="24"/>
                <w:szCs w:val="24"/>
              </w:rPr>
              <w:t xml:space="preserve">,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14:paraId="2E5D5E0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14:paraId="4EED663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14:paraId="677AA06C"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72FF92B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9.</w:t>
            </w:r>
          </w:p>
        </w:tc>
        <w:tc>
          <w:tcPr>
            <w:tcW w:w="1542" w:type="pct"/>
            <w:tcBorders>
              <w:top w:val="single" w:sz="6" w:space="0" w:color="auto"/>
              <w:left w:val="single" w:sz="4" w:space="0" w:color="auto"/>
              <w:bottom w:val="single" w:sz="6" w:space="0" w:color="auto"/>
              <w:right w:val="single" w:sz="4" w:space="0" w:color="auto"/>
            </w:tcBorders>
            <w:vAlign w:val="center"/>
          </w:tcPr>
          <w:p w14:paraId="51ACACA1"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8678C34"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14:paraId="55C68186" w14:textId="77777777"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14:paraId="666940E6"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14:paraId="6EEBA672"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15D5D05"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0CD70DE3" w14:textId="77777777"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14:paraId="3B63E36C"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14:paraId="021875BD"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F697C6B" w14:textId="77777777"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14:paraId="5DF31E71"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13C6EFE"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14:paraId="767AE295"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Wartość </w:t>
            </w:r>
            <w:proofErr w:type="spellStart"/>
            <w:r w:rsidRPr="00CB408F">
              <w:rPr>
                <w:rFonts w:ascii="Times New Roman" w:hAnsi="Times New Roman"/>
                <w:sz w:val="24"/>
                <w:szCs w:val="24"/>
              </w:rPr>
              <w:t>CBR</w:t>
            </w:r>
            <w:r w:rsidRPr="00CB408F">
              <w:rPr>
                <w:rFonts w:ascii="Times New Roman" w:hAnsi="Times New Roman"/>
                <w:sz w:val="24"/>
                <w:szCs w:val="24"/>
                <w:vertAlign w:val="superscript"/>
              </w:rPr>
              <w:t>c</w:t>
            </w:r>
            <w:proofErr w:type="spellEnd"/>
            <w:r w:rsidRPr="00CB408F">
              <w:rPr>
                <w:rFonts w:ascii="Times New Roman" w:hAnsi="Times New Roman"/>
                <w:sz w:val="24"/>
                <w:szCs w:val="24"/>
                <w:vertAlign w:val="superscript"/>
              </w:rPr>
              <w:t>)</w:t>
            </w:r>
            <w:r w:rsidRPr="00CB408F">
              <w:rPr>
                <w:rFonts w:ascii="Times New Roman" w:hAnsi="Times New Roman"/>
                <w:sz w:val="24"/>
                <w:szCs w:val="24"/>
              </w:rPr>
              <w:t xml:space="preserve"> [%]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35365F0" w14:textId="77777777"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14:paraId="117A931D" w14:textId="77777777"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14:paraId="266A7ABB" w14:textId="77777777"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14:paraId="13931A74"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52E3ABF7"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14:paraId="0349178C"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Wodoprzepuszczalność mieszanki w warstwie odsączającej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14:paraId="26191028"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2A8D8E26"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14:paraId="50CB65FB"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0D6A9508"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14:paraId="4CE412EC"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 xml:space="preserve">metodą </w:t>
            </w:r>
            <w:proofErr w:type="spellStart"/>
            <w:r w:rsidRPr="00CB408F">
              <w:rPr>
                <w:rFonts w:ascii="Times New Roman" w:hAnsi="Times New Roman"/>
                <w:sz w:val="24"/>
                <w:szCs w:val="24"/>
              </w:rPr>
              <w:t>Proctora</w:t>
            </w:r>
            <w:proofErr w:type="spellEnd"/>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4B6B85B" w14:textId="77777777"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14:paraId="0CF1CEDA" w14:textId="77777777"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14:paraId="26142FBE" w14:textId="77777777"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t xml:space="preserve"> </w:t>
            </w:r>
          </w:p>
          <w:p w14:paraId="6F785287" w14:textId="77777777"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14:paraId="76030252"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według normy PN-EN 13286-2 (przy wilgotności optymalnej mieszanki ustalonej uprzednio podczas standardowego badania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wg PN-EN 13286-2 dla badanej mieszanki niezwiązanej).</w:t>
            </w:r>
          </w:p>
          <w:p w14:paraId="6C7CF89A"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Dla mieszanek o D ≤ 31,5mm stosuje się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B i ubijak A, a dla mieszanek o D &gt; 31,5mm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C  i ubijak C.</w:t>
            </w:r>
          </w:p>
          <w:p w14:paraId="115A0CAE"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5-cio krotnym ubiciu mieszanki w aparacie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należy przygotować próbkę zgodnie z normą PN-EN 933-8 załącznik A i wykonać badanie wskaźnika piaskowego dla frakcji 0/4mm.</w:t>
            </w:r>
          </w:p>
          <w:p w14:paraId="46A535DE" w14:textId="77777777"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14:paraId="4B106A80"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Badanie wskaźnika nośności CBR dla mieszanek niezwiązanych do warstw przywołanych w niniejszej SST należy wykonać po ich zagęszczeniu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zgodnie z normą PN–EN 13286-2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xml:space="preserve"> = 1,0. Próba do badania CBR powinna być przygotowana zgodnie z pkt 6 i 7 normy PN–EN 13286-47 (materiał odsiany przez sito #22,4mm). Zagęszczenie mieszanki powinno zostać wykonane zgodnie z pkt 7.1 normy PN-EN 13286-47 (odwołanie do normy PN–EN 13286-2).</w:t>
            </w:r>
          </w:p>
          <w:p w14:paraId="4FD29D12"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Zgodnie z wymaganiami normy PN-EN 13286-2 pkt 5, powinna zostać wybrana forma B z ubijakiem A.</w:t>
            </w:r>
          </w:p>
          <w:p w14:paraId="5DE09CF2"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przygotowaniu próby do badania CBR, mieszanka powinna zostać przebadana zgodnie z procedurą zawartą w pkt 7, 8.1, 8.3 i 9 normy PN-EN 13286-47. Przy postępowaniu wg pkt 8.3.2 powinien zostać użyty obciążnik o masie 2 kg.</w:t>
            </w:r>
          </w:p>
        </w:tc>
      </w:tr>
    </w:tbl>
    <w:p w14:paraId="339939FE"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14:paraId="185292FA"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0" w:name="_Toc346191055"/>
      <w:r w:rsidRPr="00CB408F">
        <w:rPr>
          <w:rFonts w:ascii="Times New Roman" w:hAnsi="Times New Roman" w:cs="Times New Roman"/>
          <w:b/>
          <w:color w:val="auto"/>
          <w:sz w:val="24"/>
          <w:szCs w:val="24"/>
        </w:rPr>
        <w:lastRenderedPageBreak/>
        <w:t>Wytwarzanie mieszanki i składowanie</w:t>
      </w:r>
      <w:bookmarkEnd w:id="30"/>
    </w:p>
    <w:p w14:paraId="32DD4229" w14:textId="77777777"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 xml:space="preserve">Mieszankę kruszywa o uziarnieniu zgodnym z projektowaną krzywą uziarnienia i wilgotności optymalnej należy wytwarzać w mieszarkach stacjonarnych gwarantujących otrzymanie jednorodnej mieszanki lub uzyskiwać z </w:t>
      </w:r>
      <w:proofErr w:type="spellStart"/>
      <w:r w:rsidRPr="00CB408F">
        <w:rPr>
          <w:sz w:val="24"/>
          <w:szCs w:val="24"/>
        </w:rPr>
        <w:t>przekruszenia</w:t>
      </w:r>
      <w:proofErr w:type="spellEnd"/>
      <w:r w:rsidRPr="00CB408F">
        <w:rPr>
          <w:sz w:val="24"/>
          <w:szCs w:val="24"/>
        </w:rPr>
        <w:t xml:space="preserve"> w kamieniołomie. Ze względu na konieczność zapewnienia jednorodności materiału nie dopuszcza się wytwarzania mieszanki przez mieszanie poszczególnych frakcji na drodze.</w:t>
      </w:r>
    </w:p>
    <w:p w14:paraId="6D3FE15A" w14:textId="77777777"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14:paraId="46B53E5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1" w:name="_Toc346191056"/>
      <w:bookmarkStart w:id="32" w:name="_Toc331503984"/>
      <w:r w:rsidRPr="00CB408F">
        <w:rPr>
          <w:rFonts w:ascii="Times New Roman" w:hAnsi="Times New Roman" w:cs="Times New Roman"/>
          <w:sz w:val="24"/>
          <w:szCs w:val="24"/>
        </w:rPr>
        <w:t>SPRZĘT</w:t>
      </w:r>
      <w:bookmarkEnd w:id="31"/>
    </w:p>
    <w:p w14:paraId="322496B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14:paraId="40B7F7C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14:paraId="6CA85CD6"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3" w:name="_Toc346191057"/>
      <w:r w:rsidRPr="00CB408F">
        <w:rPr>
          <w:rFonts w:ascii="Times New Roman" w:hAnsi="Times New Roman" w:cs="Times New Roman"/>
          <w:sz w:val="24"/>
          <w:szCs w:val="24"/>
        </w:rPr>
        <w:t>TRANSPORT</w:t>
      </w:r>
      <w:bookmarkEnd w:id="33"/>
    </w:p>
    <w:p w14:paraId="11FE60A7"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14:paraId="66CE912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14:paraId="1DA35EA3"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8"/>
      <w:r w:rsidRPr="00CB408F">
        <w:rPr>
          <w:rFonts w:ascii="Times New Roman" w:hAnsi="Times New Roman" w:cs="Times New Roman"/>
          <w:sz w:val="24"/>
          <w:szCs w:val="24"/>
        </w:rPr>
        <w:t>WYKONANIE ROBÓT</w:t>
      </w:r>
      <w:bookmarkEnd w:id="34"/>
    </w:p>
    <w:p w14:paraId="1F72420C"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5" w:name="_Toc346191059"/>
      <w:r w:rsidRPr="00CB408F">
        <w:rPr>
          <w:rFonts w:ascii="Times New Roman" w:hAnsi="Times New Roman" w:cs="Times New Roman"/>
          <w:b/>
          <w:color w:val="auto"/>
          <w:sz w:val="24"/>
          <w:szCs w:val="24"/>
        </w:rPr>
        <w:t>Ogólne zasady wykonania robót</w:t>
      </w:r>
      <w:bookmarkEnd w:id="35"/>
    </w:p>
    <w:p w14:paraId="7D5C8DFD"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14:paraId="62C015A0"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14:paraId="7E0A788F"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60"/>
      <w:r w:rsidRPr="00CB408F">
        <w:rPr>
          <w:rFonts w:ascii="Times New Roman" w:hAnsi="Times New Roman" w:cs="Times New Roman"/>
          <w:b/>
          <w:color w:val="auto"/>
          <w:sz w:val="24"/>
          <w:szCs w:val="24"/>
        </w:rPr>
        <w:t>Przygotowanie podłoża</w:t>
      </w:r>
      <w:bookmarkEnd w:id="36"/>
    </w:p>
    <w:p w14:paraId="72BFF331"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14:paraId="48E198B5"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1"/>
      <w:r w:rsidRPr="00CB408F">
        <w:rPr>
          <w:rStyle w:val="Nagwek5Znak"/>
          <w:rFonts w:ascii="Times New Roman" w:hAnsi="Times New Roman" w:cs="Times New Roman"/>
          <w:b/>
          <w:color w:val="auto"/>
          <w:sz w:val="24"/>
          <w:szCs w:val="24"/>
        </w:rPr>
        <w:t>Dostawa mieszanki niezwiązanej</w:t>
      </w:r>
      <w:bookmarkEnd w:id="37"/>
      <w:r w:rsidRPr="00CB408F">
        <w:rPr>
          <w:rFonts w:ascii="Times New Roman" w:hAnsi="Times New Roman" w:cs="Times New Roman"/>
          <w:b/>
          <w:color w:val="auto"/>
          <w:sz w:val="24"/>
          <w:szCs w:val="24"/>
        </w:rPr>
        <w:t xml:space="preserve"> </w:t>
      </w:r>
    </w:p>
    <w:p w14:paraId="11AC45F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14:paraId="190542B7"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2"/>
      <w:r w:rsidRPr="00CB408F">
        <w:rPr>
          <w:rFonts w:ascii="Times New Roman" w:hAnsi="Times New Roman" w:cs="Times New Roman"/>
          <w:b/>
          <w:color w:val="auto"/>
          <w:sz w:val="24"/>
          <w:szCs w:val="24"/>
        </w:rPr>
        <w:t>Układanie mieszanki niezwiązanej</w:t>
      </w:r>
      <w:bookmarkEnd w:id="38"/>
    </w:p>
    <w:p w14:paraId="79DD377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14:paraId="36A62AB9"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9" w:name="_Toc346191063"/>
      <w:r w:rsidRPr="00CB408F">
        <w:rPr>
          <w:rFonts w:ascii="Times New Roman" w:hAnsi="Times New Roman" w:cs="Times New Roman"/>
          <w:b/>
          <w:color w:val="auto"/>
          <w:sz w:val="24"/>
          <w:szCs w:val="24"/>
        </w:rPr>
        <w:lastRenderedPageBreak/>
        <w:t>Grubość warstwy z mieszanki niezwiązanej</w:t>
      </w:r>
      <w:bookmarkEnd w:id="39"/>
    </w:p>
    <w:p w14:paraId="1FC1C829"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14:paraId="6828954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14:paraId="77F38A19"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14:paraId="5505E1F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4"/>
      <w:r w:rsidRPr="00CB408F">
        <w:rPr>
          <w:rFonts w:ascii="Times New Roman" w:hAnsi="Times New Roman" w:cs="Times New Roman"/>
          <w:b/>
          <w:color w:val="auto"/>
          <w:sz w:val="24"/>
          <w:szCs w:val="24"/>
        </w:rPr>
        <w:t>Zagęszczanie</w:t>
      </w:r>
      <w:bookmarkEnd w:id="40"/>
    </w:p>
    <w:p w14:paraId="5DBA5E0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14:paraId="51B60D35" w14:textId="77777777"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14:paraId="50257BDA"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w:t>
      </w:r>
      <w:proofErr w:type="spellStart"/>
      <w:r w:rsidRPr="00CB408F">
        <w:rPr>
          <w:rFonts w:ascii="Times New Roman" w:hAnsi="Times New Roman"/>
          <w:sz w:val="24"/>
          <w:szCs w:val="24"/>
        </w:rPr>
        <w:t>MPa</w:t>
      </w:r>
      <w:proofErr w:type="spellEnd"/>
      <w:r w:rsidRPr="00CB408F">
        <w:rPr>
          <w:rFonts w:ascii="Times New Roman" w:hAnsi="Times New Roman"/>
          <w:sz w:val="24"/>
          <w:szCs w:val="24"/>
        </w:rPr>
        <w:t xml:space="preserve">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14:paraId="490D2C9E"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14:paraId="19757BBF"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w14:anchorId="36934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75pt" o:ole="" fillcolor="window">
            <v:imagedata r:id="rId12" o:title=""/>
          </v:shape>
          <o:OLEObject Type="Embed" ProgID="Equation.3" ShapeID="_x0000_i1025" DrawAspect="Content" ObjectID="_1825342231" r:id="rId13"/>
        </w:object>
      </w:r>
      <w:r w:rsidRPr="00CB408F">
        <w:rPr>
          <w:sz w:val="24"/>
          <w:szCs w:val="24"/>
        </w:rPr>
        <w:t>D</w:t>
      </w:r>
    </w:p>
    <w:p w14:paraId="4B1919C4" w14:textId="77777777" w:rsidR="000B797D" w:rsidRPr="00CB408F" w:rsidRDefault="000B797D" w:rsidP="000B797D">
      <w:pPr>
        <w:pStyle w:val="Standardowytekst"/>
        <w:numPr>
          <w:ilvl w:val="12"/>
          <w:numId w:val="0"/>
        </w:numPr>
        <w:tabs>
          <w:tab w:val="left" w:pos="1440"/>
        </w:tabs>
        <w:rPr>
          <w:sz w:val="24"/>
          <w:szCs w:val="24"/>
        </w:rPr>
      </w:pPr>
    </w:p>
    <w:p w14:paraId="1CFE43B4"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w:t>
      </w:r>
      <w:proofErr w:type="spellStart"/>
      <w:r w:rsidRPr="00CB408F">
        <w:rPr>
          <w:sz w:val="24"/>
          <w:szCs w:val="24"/>
        </w:rPr>
        <w:t>MPa</w:t>
      </w:r>
      <w:proofErr w:type="spellEnd"/>
      <w:r w:rsidRPr="00CB408F">
        <w:rPr>
          <w:sz w:val="24"/>
          <w:szCs w:val="24"/>
        </w:rPr>
        <w:t>]</w:t>
      </w:r>
    </w:p>
    <w:p w14:paraId="61781F83"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14:paraId="585DDD99"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14:paraId="240B1DD6" w14:textId="77777777" w:rsidR="000B797D" w:rsidRPr="00CB408F" w:rsidRDefault="000B797D" w:rsidP="000B797D">
      <w:pPr>
        <w:jc w:val="both"/>
        <w:rPr>
          <w:rFonts w:ascii="Times New Roman" w:hAnsi="Times New Roman"/>
          <w:sz w:val="24"/>
          <w:szCs w:val="24"/>
        </w:rPr>
      </w:pPr>
    </w:p>
    <w:p w14:paraId="598459C1"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1" w:name="_Toc346191065"/>
      <w:r w:rsidRPr="00CB408F">
        <w:rPr>
          <w:rFonts w:ascii="Times New Roman" w:hAnsi="Times New Roman" w:cs="Times New Roman"/>
          <w:b/>
          <w:color w:val="auto"/>
          <w:sz w:val="24"/>
          <w:szCs w:val="24"/>
        </w:rPr>
        <w:t>Odcinek próbny</w:t>
      </w:r>
      <w:bookmarkEnd w:id="41"/>
    </w:p>
    <w:p w14:paraId="45743819"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14:paraId="16990202"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14:paraId="06EEC1E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EA7BB1">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14:paraId="1092413F"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14:paraId="55DDBE70" w14:textId="77777777"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14:paraId="36DFC380" w14:textId="77777777"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14:paraId="415BE628" w14:textId="77777777"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14:paraId="7D997281" w14:textId="77777777"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14:paraId="02CAC73D" w14:textId="77777777"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 xml:space="preserve">E2 oraz stosunek modułów odkształcenia </w:t>
      </w:r>
      <w:proofErr w:type="spellStart"/>
      <w:r w:rsidRPr="00CB408F">
        <w:rPr>
          <w:rFonts w:ascii="Times New Roman" w:hAnsi="Times New Roman"/>
          <w:color w:val="000000"/>
          <w:sz w:val="24"/>
          <w:szCs w:val="24"/>
        </w:rPr>
        <w:t>Io</w:t>
      </w:r>
      <w:proofErr w:type="spellEnd"/>
      <w:r w:rsidR="00AC327D" w:rsidRPr="00CB408F">
        <w:rPr>
          <w:rFonts w:ascii="Times New Roman" w:hAnsi="Times New Roman"/>
          <w:color w:val="000000"/>
          <w:sz w:val="24"/>
          <w:szCs w:val="24"/>
        </w:rPr>
        <w:t>.</w:t>
      </w:r>
    </w:p>
    <w:p w14:paraId="384A12C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6"/>
      <w:r w:rsidRPr="00CB408F">
        <w:rPr>
          <w:rFonts w:ascii="Times New Roman" w:hAnsi="Times New Roman" w:cs="Times New Roman"/>
          <w:b/>
          <w:color w:val="auto"/>
          <w:sz w:val="24"/>
          <w:szCs w:val="24"/>
        </w:rPr>
        <w:t>Utrzymanie warstwy z mieszanki niezwiązanej</w:t>
      </w:r>
      <w:bookmarkEnd w:id="42"/>
    </w:p>
    <w:p w14:paraId="0CBE344F"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14:paraId="77E97C09"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3" w:name="_Toc346191067"/>
      <w:r w:rsidRPr="00CB408F">
        <w:rPr>
          <w:rFonts w:ascii="Times New Roman" w:hAnsi="Times New Roman" w:cs="Times New Roman"/>
          <w:sz w:val="24"/>
          <w:szCs w:val="24"/>
        </w:rPr>
        <w:t>KONTROLA JAKOSCI ROBÓT</w:t>
      </w:r>
      <w:bookmarkEnd w:id="32"/>
      <w:bookmarkEnd w:id="43"/>
    </w:p>
    <w:p w14:paraId="53484E1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4" w:name="_Toc346191068"/>
      <w:r w:rsidRPr="00CB408F">
        <w:rPr>
          <w:rFonts w:ascii="Times New Roman" w:hAnsi="Times New Roman" w:cs="Times New Roman"/>
          <w:b/>
          <w:color w:val="auto"/>
          <w:sz w:val="24"/>
          <w:szCs w:val="24"/>
        </w:rPr>
        <w:t>Ogólne zasady kontroli jakości robót</w:t>
      </w:r>
      <w:bookmarkEnd w:id="44"/>
    </w:p>
    <w:p w14:paraId="17E8CD0E"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14:paraId="590F5FDC"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9"/>
      <w:r w:rsidRPr="00CB408F">
        <w:rPr>
          <w:rFonts w:ascii="Times New Roman" w:hAnsi="Times New Roman" w:cs="Times New Roman"/>
          <w:b/>
          <w:color w:val="auto"/>
          <w:sz w:val="24"/>
          <w:szCs w:val="24"/>
        </w:rPr>
        <w:t>Badania przed przystąpieniem do robót</w:t>
      </w:r>
      <w:bookmarkEnd w:id="45"/>
    </w:p>
    <w:p w14:paraId="3DDD6997" w14:textId="77777777"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14:paraId="7228AA8E"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70"/>
      <w:r w:rsidRPr="00CB408F">
        <w:rPr>
          <w:rFonts w:ascii="Times New Roman" w:hAnsi="Times New Roman" w:cs="Times New Roman"/>
          <w:b/>
          <w:color w:val="auto"/>
          <w:sz w:val="24"/>
          <w:szCs w:val="24"/>
        </w:rPr>
        <w:t>Badania w czasie robót</w:t>
      </w:r>
      <w:bookmarkEnd w:id="46"/>
    </w:p>
    <w:p w14:paraId="1D240E96"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7" w:name="_Toc346191071"/>
      <w:r w:rsidRPr="00CB408F">
        <w:rPr>
          <w:rFonts w:ascii="Times New Roman" w:hAnsi="Times New Roman" w:cs="Times New Roman"/>
          <w:b/>
          <w:color w:val="auto"/>
          <w:sz w:val="24"/>
          <w:szCs w:val="24"/>
        </w:rPr>
        <w:t>Badania uziarnienia i wilgotności</w:t>
      </w:r>
      <w:bookmarkEnd w:id="47"/>
    </w:p>
    <w:p w14:paraId="0B5053DB"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14:paraId="23ADB75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14:paraId="5A5FB369" w14:textId="77777777"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 xml:space="preserve">Wilgotność mieszanki powinna odpowiadać wilgotności optymalnej, określonej według próby </w:t>
      </w:r>
      <w:proofErr w:type="spellStart"/>
      <w:r w:rsidRPr="00CB408F">
        <w:rPr>
          <w:sz w:val="24"/>
          <w:szCs w:val="24"/>
        </w:rPr>
        <w:t>Proctora</w:t>
      </w:r>
      <w:proofErr w:type="spellEnd"/>
      <w:r w:rsidRPr="00CB408F">
        <w:rPr>
          <w:sz w:val="24"/>
          <w:szCs w:val="24"/>
        </w:rPr>
        <w:t>, zgodnie z PN-EN 13286-2 z tolerancją +10% -20% jej wartości.</w:t>
      </w:r>
    </w:p>
    <w:p w14:paraId="2472BA6F" w14:textId="77777777" w:rsidR="00D95A95" w:rsidRPr="00CB408F" w:rsidRDefault="00D95A95" w:rsidP="00D95A95">
      <w:pPr>
        <w:pStyle w:val="Tekstpodstawowy3"/>
        <w:shd w:val="clear" w:color="auto" w:fill="auto"/>
        <w:spacing w:after="60" w:line="240" w:lineRule="auto"/>
        <w:ind w:left="79" w:right="62" w:firstLine="0"/>
        <w:rPr>
          <w:sz w:val="22"/>
          <w:szCs w:val="22"/>
        </w:rPr>
      </w:pPr>
    </w:p>
    <w:p w14:paraId="6066EE64" w14:textId="77777777"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14:paraId="67D469C3" w14:textId="77777777"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14:paraId="5AEA4C35" w14:textId="77777777"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firstRow="1" w:lastRow="0" w:firstColumn="1" w:lastColumn="0" w:noHBand="0" w:noVBand="1"/>
      </w:tblPr>
      <w:tblGrid>
        <w:gridCol w:w="493"/>
        <w:gridCol w:w="2697"/>
        <w:gridCol w:w="2125"/>
        <w:gridCol w:w="2596"/>
        <w:gridCol w:w="1866"/>
      </w:tblGrid>
      <w:tr w:rsidR="00D95A95" w:rsidRPr="00CB408F" w14:paraId="4AD948DB" w14:textId="77777777" w:rsidTr="001B75D0">
        <w:trPr>
          <w:trHeight w:val="221"/>
        </w:trPr>
        <w:tc>
          <w:tcPr>
            <w:tcW w:w="494" w:type="dxa"/>
            <w:tcBorders>
              <w:top w:val="single" w:sz="4" w:space="0" w:color="auto"/>
              <w:left w:val="single" w:sz="4" w:space="0" w:color="auto"/>
              <w:right w:val="single" w:sz="4" w:space="0" w:color="auto"/>
            </w:tcBorders>
            <w:shd w:val="clear" w:color="auto" w:fill="FFFFFF"/>
          </w:tcPr>
          <w:p w14:paraId="697A7C72" w14:textId="77777777"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14:paraId="1B051089" w14:textId="77777777"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14:paraId="2C58198F" w14:textId="77777777"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14:paraId="5FD38EE3" w14:textId="77777777" w:rsidTr="001B75D0">
        <w:trPr>
          <w:trHeight w:val="634"/>
        </w:trPr>
        <w:tc>
          <w:tcPr>
            <w:tcW w:w="494" w:type="dxa"/>
            <w:tcBorders>
              <w:left w:val="single" w:sz="4" w:space="0" w:color="auto"/>
              <w:bottom w:val="single" w:sz="4" w:space="0" w:color="auto"/>
              <w:right w:val="single" w:sz="4" w:space="0" w:color="auto"/>
            </w:tcBorders>
            <w:shd w:val="clear" w:color="auto" w:fill="FFFFFF"/>
          </w:tcPr>
          <w:p w14:paraId="0CCCE575"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14:paraId="2B8B8290" w14:textId="77777777"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1C859D"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3B3E8D76"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69C5AEE6"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14:paraId="4D11608E" w14:textId="77777777"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21D726E"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EBBC93E" w14:textId="77777777"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5241CDA"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25739C0E"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5F369C27"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73420F57"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2EB20001"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DB6E6B9"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CBE4888"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5AF17706"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7C70177D"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6FC85BC6"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48538367"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6E4D791"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42EA4A6"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1C6F5F61"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77AAD55D"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14:paraId="7DA2F758" w14:textId="77777777"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14:paraId="7475B908"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14:paraId="63485CB8" w14:textId="77777777"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14:paraId="6A19DF93" w14:textId="77777777"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14:paraId="6FF7EF37" w14:textId="77777777" w:rsidR="00D95A95" w:rsidRPr="00CB408F" w:rsidRDefault="00D95A95" w:rsidP="000B797D">
      <w:pPr>
        <w:jc w:val="both"/>
        <w:rPr>
          <w:rFonts w:ascii="Times New Roman" w:hAnsi="Times New Roman"/>
          <w:sz w:val="24"/>
          <w:szCs w:val="24"/>
        </w:rPr>
      </w:pPr>
    </w:p>
    <w:p w14:paraId="15A101C0"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2"/>
      <w:r w:rsidRPr="00CB408F">
        <w:rPr>
          <w:rFonts w:ascii="Times New Roman" w:hAnsi="Times New Roman" w:cs="Times New Roman"/>
          <w:b/>
          <w:color w:val="auto"/>
          <w:sz w:val="24"/>
          <w:szCs w:val="24"/>
        </w:rPr>
        <w:t>Badania zagęszczenia i nośności</w:t>
      </w:r>
      <w:bookmarkEnd w:id="48"/>
    </w:p>
    <w:p w14:paraId="5CCCE476" w14:textId="77777777"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14:paraId="3B65682C"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14:paraId="3C5A29A4"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14:paraId="69FC4142"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14:paraId="0D606229"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14:paraId="45A288EC"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14:paraId="076BB143"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49" w:name="_Hlk500428758"/>
      <w:r w:rsidRPr="00CB408F">
        <w:rPr>
          <w:rFonts w:ascii="Times New Roman" w:hAnsi="Times New Roman"/>
          <w:color w:val="000000" w:themeColor="text1"/>
          <w:sz w:val="24"/>
          <w:szCs w:val="24"/>
          <w:lang w:val="it-IT"/>
        </w:rPr>
        <w:t>- KR 3-4 E2≥160,0 MPa</w:t>
      </w:r>
    </w:p>
    <w:bookmarkEnd w:id="49"/>
    <w:p w14:paraId="497BFD8E" w14:textId="77777777"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14:paraId="34BAFC7D" w14:textId="77777777"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14:paraId="04752154"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14:paraId="1C8C45CC"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14:paraId="4C5E5204"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14:paraId="597D320D"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firstRow="1" w:lastRow="0" w:firstColumn="1" w:lastColumn="0" w:noHBand="0" w:noVBand="1"/>
      </w:tblPr>
      <w:tblGrid>
        <w:gridCol w:w="1718"/>
        <w:gridCol w:w="1699"/>
        <w:gridCol w:w="907"/>
        <w:gridCol w:w="1334"/>
        <w:gridCol w:w="1536"/>
        <w:gridCol w:w="1550"/>
      </w:tblGrid>
      <w:tr w:rsidR="00D95A95" w:rsidRPr="00CB408F" w14:paraId="079C07A7" w14:textId="77777777"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14:paraId="32F60B51"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14:paraId="241D002A" w14:textId="77777777"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14:paraId="7F2CD2C9" w14:textId="77777777" w:rsidTr="001B75D0">
        <w:trPr>
          <w:trHeight w:val="432"/>
        </w:trPr>
        <w:tc>
          <w:tcPr>
            <w:tcW w:w="1718" w:type="dxa"/>
            <w:vMerge/>
            <w:tcBorders>
              <w:left w:val="single" w:sz="4" w:space="0" w:color="auto"/>
              <w:right w:val="single" w:sz="4" w:space="0" w:color="auto"/>
            </w:tcBorders>
            <w:shd w:val="clear" w:color="auto" w:fill="FFFFFF"/>
          </w:tcPr>
          <w:p w14:paraId="07DE5495" w14:textId="77777777"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14:paraId="775F9378" w14:textId="77777777"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 xml:space="preserve">Wskaźnik zagęszczenia </w:t>
            </w:r>
            <w:proofErr w:type="spellStart"/>
            <w:r w:rsidRPr="00CB408F">
              <w:rPr>
                <w:sz w:val="22"/>
                <w:szCs w:val="22"/>
              </w:rPr>
              <w:t>Is</w:t>
            </w:r>
            <w:proofErr w:type="spellEnd"/>
            <w:r w:rsidRPr="00CB408F">
              <w:rPr>
                <w:sz w:val="22"/>
                <w:szCs w:val="22"/>
              </w:rPr>
              <w:t xml:space="preserve">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14:paraId="28A95D67" w14:textId="77777777"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14:paraId="0471072C" w14:textId="77777777"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 xml:space="preserve">Minimalny moduł odkształcenia mierzony płytą o średnicy 30 cm </w:t>
            </w:r>
            <w:proofErr w:type="spellStart"/>
            <w:r w:rsidRPr="00CB408F">
              <w:rPr>
                <w:sz w:val="22"/>
                <w:szCs w:val="22"/>
              </w:rPr>
              <w:t>MPa</w:t>
            </w:r>
            <w:proofErr w:type="spellEnd"/>
          </w:p>
        </w:tc>
      </w:tr>
      <w:tr w:rsidR="00D95A95" w:rsidRPr="00CB408F" w14:paraId="3791F8A1" w14:textId="77777777"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14:paraId="759F64E0" w14:textId="77777777"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14:paraId="7EEDC8F4" w14:textId="77777777"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034321EB"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 xml:space="preserve">40 </w:t>
            </w:r>
            <w:proofErr w:type="spellStart"/>
            <w:r w:rsidRPr="00CB408F">
              <w:rPr>
                <w:sz w:val="22"/>
                <w:szCs w:val="22"/>
              </w:rPr>
              <w:t>kN</w:t>
            </w:r>
            <w:proofErr w:type="spellEnd"/>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4178EFCA"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 xml:space="preserve">50 </w:t>
            </w:r>
            <w:proofErr w:type="spellStart"/>
            <w:r w:rsidRPr="00CB408F">
              <w:rPr>
                <w:sz w:val="22"/>
                <w:szCs w:val="22"/>
              </w:rPr>
              <w:t>kN</w:t>
            </w:r>
            <w:proofErr w:type="spellEnd"/>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5793F3CC" w14:textId="77777777"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61FCBAAA" w14:textId="77777777"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14:paraId="3C70A3CB" w14:textId="77777777"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75FC0F67"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61E7D73B"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1638D32B"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1D09DF35"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1EC4ABC7"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79FEBB9E"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14:paraId="277624D0" w14:textId="77777777"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48488547"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212DC92A"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748B17F6"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1723320E"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C43F5F6"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163FC506"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14:paraId="7A6F0ACA" w14:textId="77777777" w:rsidR="00D95A95" w:rsidRPr="00CB408F" w:rsidRDefault="00D95A95" w:rsidP="00D95A95">
      <w:pPr>
        <w:jc w:val="both"/>
        <w:rPr>
          <w:rFonts w:ascii="Times New Roman" w:hAnsi="Times New Roman"/>
          <w:sz w:val="18"/>
          <w:szCs w:val="18"/>
        </w:rPr>
      </w:pPr>
    </w:p>
    <w:p w14:paraId="10FDCF50" w14:textId="77777777"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14:paraId="7406E123" w14:textId="77777777"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14:paraId="46F7FAF1" w14:textId="77777777" w:rsidR="00B0131B" w:rsidRPr="00CB408F" w:rsidRDefault="00B0131B" w:rsidP="00AC327D">
      <w:pPr>
        <w:pStyle w:val="Bezodstpw"/>
        <w:rPr>
          <w:rFonts w:ascii="Times New Roman" w:hAnsi="Times New Roman"/>
          <w:sz w:val="24"/>
          <w:szCs w:val="24"/>
        </w:rPr>
      </w:pPr>
    </w:p>
    <w:p w14:paraId="3262D9E0" w14:textId="77777777" w:rsidR="00D95A95" w:rsidRPr="00CB408F" w:rsidRDefault="00D95A95" w:rsidP="00AC327D">
      <w:pPr>
        <w:pStyle w:val="Bezodstpw"/>
        <w:rPr>
          <w:rFonts w:ascii="Times New Roman" w:hAnsi="Times New Roman"/>
          <w:sz w:val="24"/>
          <w:szCs w:val="24"/>
        </w:rPr>
      </w:pPr>
    </w:p>
    <w:p w14:paraId="154D368D" w14:textId="77777777"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14:paraId="4E328056" w14:textId="77777777"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14:paraId="0272372A"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0" w:name="_Toc346191073"/>
      <w:r w:rsidRPr="00CB408F">
        <w:rPr>
          <w:rFonts w:ascii="Times New Roman" w:hAnsi="Times New Roman" w:cs="Times New Roman"/>
          <w:b/>
          <w:color w:val="auto"/>
          <w:sz w:val="24"/>
          <w:szCs w:val="24"/>
        </w:rPr>
        <w:t>Wymagania dotyczące cech geometrycznych warstwy z mieszanki niezwiązanej</w:t>
      </w:r>
      <w:bookmarkEnd w:id="50"/>
      <w:r w:rsidRPr="00CB408F">
        <w:rPr>
          <w:rFonts w:ascii="Times New Roman" w:hAnsi="Times New Roman" w:cs="Times New Roman"/>
          <w:b/>
          <w:color w:val="auto"/>
          <w:sz w:val="24"/>
          <w:szCs w:val="24"/>
        </w:rPr>
        <w:t xml:space="preserve"> </w:t>
      </w:r>
    </w:p>
    <w:p w14:paraId="72BB0A84" w14:textId="77777777"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14:paraId="0C8F5601" w14:textId="77777777" w:rsidR="000B797D" w:rsidRPr="00CB408F" w:rsidRDefault="000B797D" w:rsidP="000B797D">
      <w:pPr>
        <w:pStyle w:val="Akapitzlist"/>
        <w:spacing w:line="240" w:lineRule="auto"/>
        <w:ind w:left="0"/>
        <w:jc w:val="both"/>
        <w:rPr>
          <w:rFonts w:ascii="Times New Roman" w:hAnsi="Times New Roman"/>
          <w:sz w:val="24"/>
          <w:szCs w:val="24"/>
        </w:rPr>
      </w:pPr>
    </w:p>
    <w:p w14:paraId="71E32C11" w14:textId="77777777"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firstRow="1" w:lastRow="0" w:firstColumn="1" w:lastColumn="0" w:noHBand="0" w:noVBand="0"/>
      </w:tblPr>
      <w:tblGrid>
        <w:gridCol w:w="648"/>
        <w:gridCol w:w="2798"/>
        <w:gridCol w:w="82"/>
        <w:gridCol w:w="154"/>
        <w:gridCol w:w="3365"/>
        <w:gridCol w:w="2241"/>
        <w:gridCol w:w="154"/>
      </w:tblGrid>
      <w:tr w:rsidR="000B797D" w:rsidRPr="00CB408F" w14:paraId="54F4B5F2" w14:textId="77777777"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14:paraId="331E81D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14:paraId="3468AE2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14:paraId="2EEE418C" w14:textId="77777777"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05556BD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39177BC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14:paraId="28A349C5"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4AF4DC48"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14:paraId="2EB3880E"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14:paraId="38774905"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533906A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4DC20E16"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14:paraId="1FAE7494"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1B51D40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14:paraId="2D3EB7C7"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14:paraId="5A1D1479"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28A7553A" w14:textId="77777777" w:rsidR="000B797D" w:rsidRPr="00CB408F" w:rsidRDefault="00D95A95" w:rsidP="00A54DAB">
            <w:pPr>
              <w:rPr>
                <w:rFonts w:ascii="Times New Roman" w:hAnsi="Times New Roman"/>
                <w:sz w:val="24"/>
                <w:szCs w:val="24"/>
              </w:rPr>
            </w:pPr>
            <w:r w:rsidRPr="00CB408F">
              <w:rPr>
                <w:rFonts w:ascii="Times New Roman" w:hAnsi="Times New Roman"/>
                <w:sz w:val="24"/>
                <w:szCs w:val="24"/>
              </w:rPr>
              <w:t xml:space="preserve">W sposób ciągły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367D61CC"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031D8CC8"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1271D3AA"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02BB13C9"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14:paraId="5DF2AB1C"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14:paraId="419B27A4"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784CA095"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EB96473"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194F4E0C"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258305BE"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33D1E82A"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14:paraId="16C4711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14:paraId="093282E7"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71D496B5"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03A67FD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14:paraId="670E7E86" w14:textId="77777777" w:rsidTr="00CC022E">
        <w:tc>
          <w:tcPr>
            <w:tcW w:w="648" w:type="dxa"/>
            <w:tcBorders>
              <w:top w:val="single" w:sz="4" w:space="0" w:color="auto"/>
              <w:left w:val="single" w:sz="4" w:space="0" w:color="auto"/>
              <w:right w:val="single" w:sz="4" w:space="0" w:color="auto"/>
            </w:tcBorders>
            <w:vAlign w:val="center"/>
          </w:tcPr>
          <w:p w14:paraId="2E800B1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14:paraId="013531C5"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14:paraId="70C2F495" w14:textId="77777777"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14:paraId="022DE3CE" w14:textId="77777777"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14:paraId="3589159A"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14:paraId="4547786A"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3218D9C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14:paraId="7E66C3B6"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14:paraId="476F0DF6"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0A775F2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089106A"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14:paraId="165F92DE"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1E3666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14:paraId="6BDC6CD6"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14:paraId="02482B68"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25B5EA5B"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w 3-ech pkt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4EEC7A07" w14:textId="77777777"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14:paraId="61124EA2"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14:paraId="10AD8195" w14:textId="77777777" w:rsidTr="00CC022E">
        <w:trPr>
          <w:gridAfter w:val="1"/>
          <w:wAfter w:w="154" w:type="dxa"/>
        </w:trPr>
        <w:tc>
          <w:tcPr>
            <w:tcW w:w="648" w:type="dxa"/>
            <w:tcBorders>
              <w:top w:val="single" w:sz="4" w:space="0" w:color="auto"/>
            </w:tcBorders>
          </w:tcPr>
          <w:p w14:paraId="6B920558" w14:textId="77777777"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14:paraId="5BE3F1BC" w14:textId="77777777"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14:paraId="52BDA15F" w14:textId="77777777"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14:paraId="4FE49ED0" w14:textId="77777777" w:rsidR="000B797D" w:rsidRPr="00CB408F" w:rsidRDefault="000B797D" w:rsidP="00A54DAB">
            <w:pPr>
              <w:jc w:val="both"/>
              <w:rPr>
                <w:rFonts w:ascii="Times New Roman" w:hAnsi="Times New Roman"/>
                <w:sz w:val="24"/>
                <w:szCs w:val="24"/>
              </w:rPr>
            </w:pPr>
          </w:p>
        </w:tc>
      </w:tr>
    </w:tbl>
    <w:p w14:paraId="6B50F9CF"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4"/>
      <w:r w:rsidRPr="00CB408F">
        <w:rPr>
          <w:rFonts w:ascii="Times New Roman" w:hAnsi="Times New Roman" w:cs="Times New Roman"/>
          <w:b/>
          <w:color w:val="auto"/>
          <w:sz w:val="24"/>
          <w:szCs w:val="24"/>
        </w:rPr>
        <w:t>Zasady postępowania z wadliwie wykonanymi odcinkami warstwy z mieszanki niezwiązanej</w:t>
      </w:r>
      <w:bookmarkEnd w:id="51"/>
    </w:p>
    <w:p w14:paraId="1C8C5B62"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2" w:name="_Toc346191075"/>
      <w:r w:rsidRPr="00CB408F">
        <w:rPr>
          <w:rFonts w:ascii="Times New Roman" w:hAnsi="Times New Roman" w:cs="Times New Roman"/>
          <w:b/>
          <w:color w:val="auto"/>
          <w:sz w:val="24"/>
          <w:szCs w:val="24"/>
        </w:rPr>
        <w:t>Niewłaściwe cechy geometryczne</w:t>
      </w:r>
      <w:bookmarkEnd w:id="52"/>
    </w:p>
    <w:p w14:paraId="4F9A88B4" w14:textId="77777777"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14:paraId="767B53E1" w14:textId="77777777" w:rsidR="000B797D" w:rsidRPr="00CB408F" w:rsidRDefault="000B797D" w:rsidP="000B797D">
      <w:pPr>
        <w:pStyle w:val="Standardowytekst"/>
        <w:numPr>
          <w:ilvl w:val="12"/>
          <w:numId w:val="0"/>
        </w:numPr>
        <w:rPr>
          <w:sz w:val="24"/>
          <w:szCs w:val="24"/>
        </w:rPr>
      </w:pPr>
    </w:p>
    <w:p w14:paraId="744DCD8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6"/>
      <w:r w:rsidRPr="00CB408F">
        <w:rPr>
          <w:rFonts w:ascii="Times New Roman" w:hAnsi="Times New Roman" w:cs="Times New Roman"/>
          <w:b/>
          <w:color w:val="auto"/>
          <w:sz w:val="24"/>
          <w:szCs w:val="24"/>
        </w:rPr>
        <w:t>Niewłaściwa grubość</w:t>
      </w:r>
      <w:bookmarkEnd w:id="53"/>
    </w:p>
    <w:p w14:paraId="67D3B34D" w14:textId="77777777"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14:paraId="3F926E69" w14:textId="77777777" w:rsidR="000B797D" w:rsidRPr="00CB408F" w:rsidRDefault="000B797D" w:rsidP="000B797D">
      <w:pPr>
        <w:pStyle w:val="Standardowytekst"/>
        <w:numPr>
          <w:ilvl w:val="12"/>
          <w:numId w:val="0"/>
        </w:numPr>
        <w:rPr>
          <w:sz w:val="24"/>
          <w:szCs w:val="24"/>
        </w:rPr>
      </w:pPr>
    </w:p>
    <w:p w14:paraId="6FA27906"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7"/>
      <w:r w:rsidRPr="00CB408F">
        <w:rPr>
          <w:rFonts w:ascii="Times New Roman" w:hAnsi="Times New Roman" w:cs="Times New Roman"/>
          <w:b/>
          <w:color w:val="auto"/>
          <w:sz w:val="24"/>
          <w:szCs w:val="24"/>
        </w:rPr>
        <w:t>Niewłaściwe zagęszczenie i/lub nośność</w:t>
      </w:r>
      <w:bookmarkEnd w:id="54"/>
    </w:p>
    <w:p w14:paraId="4709D4F0" w14:textId="77777777"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14:paraId="5F3ADB78"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5" w:name="_Toc331503985"/>
      <w:bookmarkStart w:id="56" w:name="_Toc346191078"/>
      <w:r w:rsidRPr="00CB408F">
        <w:rPr>
          <w:rFonts w:ascii="Times New Roman" w:hAnsi="Times New Roman" w:cs="Times New Roman"/>
          <w:sz w:val="24"/>
          <w:szCs w:val="24"/>
        </w:rPr>
        <w:t>OBMIAR ROBÓT</w:t>
      </w:r>
      <w:bookmarkEnd w:id="55"/>
      <w:bookmarkEnd w:id="56"/>
    </w:p>
    <w:p w14:paraId="7002741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14:paraId="292C8CF8"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7" w:name="_Toc331503986"/>
      <w:bookmarkStart w:id="58" w:name="_Toc346191079"/>
      <w:r w:rsidRPr="00CB408F">
        <w:rPr>
          <w:rFonts w:ascii="Times New Roman" w:hAnsi="Times New Roman" w:cs="Times New Roman"/>
          <w:sz w:val="24"/>
          <w:szCs w:val="24"/>
        </w:rPr>
        <w:lastRenderedPageBreak/>
        <w:t>ODBIÓR ROBÓT</w:t>
      </w:r>
      <w:bookmarkEnd w:id="57"/>
      <w:bookmarkEnd w:id="58"/>
    </w:p>
    <w:p w14:paraId="2D28CE4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14:paraId="117D4405" w14:textId="77777777"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14:paraId="0DA73455" w14:textId="77777777" w:rsidR="00307962" w:rsidRPr="00CB408F" w:rsidRDefault="00307962" w:rsidP="00307962">
      <w:pPr>
        <w:spacing w:after="0" w:line="240" w:lineRule="auto"/>
        <w:ind w:right="-1"/>
        <w:jc w:val="both"/>
        <w:rPr>
          <w:rFonts w:ascii="Times New Roman" w:hAnsi="Times New Roman"/>
          <w:sz w:val="24"/>
          <w:szCs w:val="24"/>
        </w:rPr>
      </w:pPr>
    </w:p>
    <w:p w14:paraId="628F636A" w14:textId="77777777"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14:paraId="31E5BEBD" w14:textId="77777777" w:rsidR="00E52F33" w:rsidRPr="00CB408F" w:rsidRDefault="00E52F33" w:rsidP="00E52F33">
      <w:pPr>
        <w:spacing w:after="0" w:line="240" w:lineRule="auto"/>
        <w:ind w:right="-1"/>
        <w:jc w:val="both"/>
        <w:rPr>
          <w:rFonts w:ascii="Times New Roman" w:hAnsi="Times New Roman"/>
          <w:sz w:val="24"/>
          <w:szCs w:val="24"/>
        </w:rPr>
      </w:pPr>
    </w:p>
    <w:p w14:paraId="55D31B58" w14:textId="77777777"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14:paraId="1ECCF223" w14:textId="77777777"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14:paraId="3771E329" w14:textId="77777777" w:rsidR="00E52F33" w:rsidRPr="00CB408F" w:rsidRDefault="00E52F33" w:rsidP="00E52F33">
      <w:pPr>
        <w:spacing w:after="0" w:line="240" w:lineRule="auto"/>
        <w:ind w:right="-1"/>
        <w:jc w:val="both"/>
        <w:rPr>
          <w:rFonts w:ascii="Times New Roman" w:hAnsi="Times New Roman"/>
          <w:sz w:val="24"/>
          <w:szCs w:val="24"/>
        </w:rPr>
      </w:pPr>
    </w:p>
    <w:p w14:paraId="27246972" w14:textId="77777777" w:rsidR="00AC327D" w:rsidRPr="00CB408F" w:rsidRDefault="00AC327D" w:rsidP="00AC327D">
      <w:pPr>
        <w:pStyle w:val="Tekstpodstawowy"/>
        <w:spacing w:line="276" w:lineRule="auto"/>
        <w:ind w:left="142"/>
        <w:contextualSpacing/>
        <w:rPr>
          <w:szCs w:val="24"/>
        </w:rPr>
      </w:pPr>
      <w:r w:rsidRPr="00CB408F">
        <w:rPr>
          <w:szCs w:val="24"/>
        </w:rPr>
        <w:t xml:space="preserve">Ogólne wymagania dotyczące płatności podano w </w:t>
      </w:r>
      <w:proofErr w:type="spellStart"/>
      <w:r w:rsidRPr="00CB408F">
        <w:rPr>
          <w:szCs w:val="24"/>
        </w:rPr>
        <w:t>STWiORB</w:t>
      </w:r>
      <w:proofErr w:type="spellEnd"/>
      <w:r w:rsidRPr="00CB408F">
        <w:rPr>
          <w:szCs w:val="24"/>
        </w:rPr>
        <w:t xml:space="preserve"> D-M-00.00.00. oraz Warunkach Kontraktu. Płatność za wykonanie robót należy przyjmować zgodnie z zaawansowaniem wykonanych robót.</w:t>
      </w:r>
    </w:p>
    <w:p w14:paraId="3AEE142E" w14:textId="77777777" w:rsidR="00AC327D" w:rsidRPr="00CB408F" w:rsidRDefault="00AC327D" w:rsidP="00AC327D">
      <w:pPr>
        <w:pStyle w:val="Tekstpodstawowy"/>
        <w:tabs>
          <w:tab w:val="left" w:pos="0"/>
        </w:tabs>
        <w:ind w:left="142"/>
        <w:contextualSpacing/>
        <w:rPr>
          <w:szCs w:val="24"/>
        </w:rPr>
      </w:pPr>
      <w:r w:rsidRPr="00CB408F">
        <w:rPr>
          <w:szCs w:val="24"/>
        </w:rPr>
        <w:t xml:space="preserve">Podstawą płatności jest wartość ryczałtowa, obejmująca wszystkie czynności konieczne do wykonania i odbioru robót opisywanych daną </w:t>
      </w:r>
      <w:proofErr w:type="spellStart"/>
      <w:r w:rsidRPr="00CB408F">
        <w:rPr>
          <w:szCs w:val="24"/>
        </w:rPr>
        <w:t>STWiORB</w:t>
      </w:r>
      <w:proofErr w:type="spellEnd"/>
      <w:r w:rsidRPr="00CB408F">
        <w:rPr>
          <w:szCs w:val="24"/>
        </w:rPr>
        <w:t>, koszt wszelkich wymaganych dla nich badań oraz materiałów.</w:t>
      </w:r>
    </w:p>
    <w:p w14:paraId="5A88F36A" w14:textId="77777777" w:rsidR="00307962" w:rsidRPr="00CB408F" w:rsidRDefault="00307962" w:rsidP="00307962">
      <w:pPr>
        <w:spacing w:after="0" w:line="240" w:lineRule="auto"/>
        <w:ind w:right="-1"/>
        <w:jc w:val="both"/>
        <w:rPr>
          <w:rFonts w:ascii="Times New Roman" w:hAnsi="Times New Roman"/>
          <w:sz w:val="24"/>
          <w:szCs w:val="24"/>
        </w:rPr>
      </w:pPr>
    </w:p>
    <w:p w14:paraId="52EF0704"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14:paraId="36ED18AB" w14:textId="77777777"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14:paraId="40D82765"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14:paraId="3F6C2E46" w14:textId="77777777"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firstRow="0" w:lastRow="0" w:firstColumn="0" w:lastColumn="0" w:noHBand="0" w:noVBand="0"/>
      </w:tblPr>
      <w:tblGrid>
        <w:gridCol w:w="2197"/>
        <w:gridCol w:w="7300"/>
      </w:tblGrid>
      <w:tr w:rsidR="00E17B9B" w:rsidRPr="00CB408F" w14:paraId="30187382" w14:textId="77777777" w:rsidTr="00916218">
        <w:tc>
          <w:tcPr>
            <w:tcW w:w="2197" w:type="dxa"/>
          </w:tcPr>
          <w:p w14:paraId="3438127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14:paraId="662838D0"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14:paraId="6C74F26D" w14:textId="77777777" w:rsidTr="00916218">
        <w:tc>
          <w:tcPr>
            <w:tcW w:w="2197" w:type="dxa"/>
          </w:tcPr>
          <w:p w14:paraId="351403F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14:paraId="5BE7F37D"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14:paraId="198A049D" w14:textId="77777777" w:rsidTr="00916218">
        <w:tc>
          <w:tcPr>
            <w:tcW w:w="2197" w:type="dxa"/>
          </w:tcPr>
          <w:p w14:paraId="5D852EA4"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14:paraId="595B2AE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14:paraId="00B066F5" w14:textId="77777777" w:rsidTr="00916218">
        <w:tc>
          <w:tcPr>
            <w:tcW w:w="2197" w:type="dxa"/>
          </w:tcPr>
          <w:p w14:paraId="5EDFB7F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14:paraId="47A0D8F7"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14:paraId="78F7B1FE" w14:textId="77777777" w:rsidTr="00916218">
        <w:tc>
          <w:tcPr>
            <w:tcW w:w="2197" w:type="dxa"/>
          </w:tcPr>
          <w:p w14:paraId="0A6A75B6"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14:paraId="31327D2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procentowej zawartości ziaren o powierzchniach powstałych w wyniku </w:t>
            </w:r>
            <w:proofErr w:type="spellStart"/>
            <w:r w:rsidRPr="00CB408F">
              <w:rPr>
                <w:rFonts w:ascii="Times New Roman" w:hAnsi="Times New Roman"/>
                <w:sz w:val="24"/>
                <w:szCs w:val="24"/>
              </w:rPr>
              <w:t>przekruszenia</w:t>
            </w:r>
            <w:proofErr w:type="spellEnd"/>
            <w:r w:rsidRPr="00CB408F">
              <w:rPr>
                <w:rFonts w:ascii="Times New Roman" w:hAnsi="Times New Roman"/>
                <w:sz w:val="24"/>
                <w:szCs w:val="24"/>
              </w:rPr>
              <w:t xml:space="preserve"> lub łamania kruszyw grubych</w:t>
            </w:r>
          </w:p>
        </w:tc>
      </w:tr>
      <w:tr w:rsidR="00E17B9B" w:rsidRPr="00CB408F" w14:paraId="14808E45" w14:textId="77777777" w:rsidTr="00916218">
        <w:tc>
          <w:tcPr>
            <w:tcW w:w="2197" w:type="dxa"/>
          </w:tcPr>
          <w:p w14:paraId="517452A6"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14:paraId="769385CA"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14:paraId="69E09605" w14:textId="77777777" w:rsidTr="00916218">
        <w:tc>
          <w:tcPr>
            <w:tcW w:w="2197" w:type="dxa"/>
          </w:tcPr>
          <w:p w14:paraId="22DEB88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14:paraId="55599CC8"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14:paraId="0CAA4BC1" w14:textId="77777777" w:rsidTr="00916218">
        <w:tc>
          <w:tcPr>
            <w:tcW w:w="2197" w:type="dxa"/>
          </w:tcPr>
          <w:p w14:paraId="67E8373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14:paraId="529A8342"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 xml:space="preserve">Badania mechanicznych i fizycznych właściwości kruszyw -- Część 6: Oznaczanie gęstości </w:t>
            </w:r>
            <w:proofErr w:type="spellStart"/>
            <w:r w:rsidRPr="00CB408F">
              <w:rPr>
                <w:rFonts w:ascii="Times New Roman" w:hAnsi="Times New Roman"/>
                <w:sz w:val="24"/>
                <w:szCs w:val="24"/>
              </w:rPr>
              <w:t>ziarn</w:t>
            </w:r>
            <w:proofErr w:type="spellEnd"/>
            <w:r w:rsidRPr="00CB408F">
              <w:rPr>
                <w:rFonts w:ascii="Times New Roman" w:hAnsi="Times New Roman"/>
                <w:sz w:val="24"/>
                <w:szCs w:val="24"/>
              </w:rPr>
              <w:t xml:space="preserve"> i nasiąkliwości</w:t>
            </w:r>
          </w:p>
        </w:tc>
      </w:tr>
      <w:tr w:rsidR="00E17B9B" w:rsidRPr="00CB408F" w14:paraId="4CF54326" w14:textId="77777777" w:rsidTr="00916218">
        <w:tc>
          <w:tcPr>
            <w:tcW w:w="2197" w:type="dxa"/>
          </w:tcPr>
          <w:p w14:paraId="7C28D73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14:paraId="45D6653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14:paraId="3D254E0B" w14:textId="77777777" w:rsidTr="00916218">
        <w:tc>
          <w:tcPr>
            <w:tcW w:w="2197" w:type="dxa"/>
          </w:tcPr>
          <w:p w14:paraId="781DD8AD"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2C0E56D1"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14:paraId="5AC98167" w14:textId="77777777" w:rsidTr="00916218">
        <w:tc>
          <w:tcPr>
            <w:tcW w:w="2197" w:type="dxa"/>
          </w:tcPr>
          <w:p w14:paraId="5B2FC5B9"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52C14038"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14:paraId="493FE33D" w14:textId="77777777" w:rsidTr="00916218">
        <w:tc>
          <w:tcPr>
            <w:tcW w:w="2197" w:type="dxa"/>
          </w:tcPr>
          <w:p w14:paraId="7F763D2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14:paraId="76161C12"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14:paraId="5D343B5E" w14:textId="77777777" w:rsidTr="00916218">
        <w:tc>
          <w:tcPr>
            <w:tcW w:w="2197" w:type="dxa"/>
          </w:tcPr>
          <w:p w14:paraId="32FD690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14:paraId="3EB2675D"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14:paraId="7A0374F9" w14:textId="77777777" w:rsidTr="00916218">
        <w:tc>
          <w:tcPr>
            <w:tcW w:w="2197" w:type="dxa"/>
          </w:tcPr>
          <w:p w14:paraId="37D66429"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14:paraId="36CD38A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14:paraId="4D1C99B8" w14:textId="77777777" w:rsidTr="00916218">
        <w:tc>
          <w:tcPr>
            <w:tcW w:w="2197" w:type="dxa"/>
          </w:tcPr>
          <w:p w14:paraId="71AB5C8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14:paraId="5609B2C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Metody określania gęstości i zawartości wody. Zagęszczanie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w:t>
            </w:r>
          </w:p>
        </w:tc>
      </w:tr>
      <w:tr w:rsidR="00E17B9B" w:rsidRPr="00CB408F" w14:paraId="2FEE1129" w14:textId="77777777" w:rsidTr="00916218">
        <w:tc>
          <w:tcPr>
            <w:tcW w:w="2197" w:type="dxa"/>
          </w:tcPr>
          <w:p w14:paraId="5D41F35F"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14:paraId="462260F2"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Woda zarobowa do betonu. Specyfikacja pobierania próbek</w:t>
            </w:r>
          </w:p>
        </w:tc>
      </w:tr>
      <w:tr w:rsidR="00E17B9B" w:rsidRPr="00CB408F" w14:paraId="74208052" w14:textId="77777777" w:rsidTr="00916218">
        <w:tc>
          <w:tcPr>
            <w:tcW w:w="2197" w:type="dxa"/>
          </w:tcPr>
          <w:p w14:paraId="5B15254A"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14:paraId="55446817" w14:textId="77777777"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14:paraId="3C5A1CE3" w14:textId="77777777"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14:paraId="681304D5" w14:textId="77777777"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Drogi samochodowe. Pomiar równości nawierzchni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i łatą</w:t>
            </w:r>
          </w:p>
          <w:p w14:paraId="3CAD4D73" w14:textId="77777777"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14:paraId="5F810819" w14:textId="77777777"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14:paraId="1DE7B071" w14:textId="77777777" w:rsidR="00E17B9B" w:rsidRPr="00CB408F" w:rsidRDefault="00E17B9B" w:rsidP="00E17B9B">
      <w:pPr>
        <w:spacing w:after="0" w:line="240" w:lineRule="auto"/>
        <w:ind w:right="-1"/>
        <w:jc w:val="both"/>
        <w:rPr>
          <w:rFonts w:ascii="Times New Roman" w:hAnsi="Times New Roman"/>
          <w:sz w:val="24"/>
          <w:szCs w:val="24"/>
        </w:rPr>
      </w:pPr>
    </w:p>
    <w:p w14:paraId="5C68B332"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14:paraId="37AF5E54" w14:textId="77777777" w:rsidR="00E17B9B" w:rsidRPr="00CB408F" w:rsidRDefault="00E17B9B" w:rsidP="00E17B9B">
      <w:pPr>
        <w:spacing w:after="0" w:line="240" w:lineRule="auto"/>
        <w:ind w:right="-1"/>
        <w:jc w:val="both"/>
        <w:rPr>
          <w:rFonts w:ascii="Times New Roman" w:hAnsi="Times New Roman"/>
          <w:sz w:val="24"/>
          <w:szCs w:val="24"/>
        </w:rPr>
      </w:pPr>
    </w:p>
    <w:p w14:paraId="5DC29C33" w14:textId="77777777"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FEF74" w14:textId="77777777" w:rsidR="00755C70" w:rsidRDefault="00755C70">
      <w:r>
        <w:separator/>
      </w:r>
    </w:p>
  </w:endnote>
  <w:endnote w:type="continuationSeparator" w:id="0">
    <w:p w14:paraId="5A0BB692" w14:textId="77777777" w:rsidR="00755C70" w:rsidRDefault="0075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5239691"/>
      <w:docPartObj>
        <w:docPartGallery w:val="Page Numbers (Bottom of Page)"/>
        <w:docPartUnique/>
      </w:docPartObj>
    </w:sdtPr>
    <w:sdtContent>
      <w:p w14:paraId="22EE7EF5" w14:textId="77777777" w:rsidR="001B75D0" w:rsidRDefault="00000000" w:rsidP="00A54DAB">
        <w:pPr>
          <w:pStyle w:val="Stopka"/>
          <w:pBdr>
            <w:top w:val="single" w:sz="4" w:space="1" w:color="auto"/>
          </w:pBdr>
          <w:jc w:val="right"/>
        </w:pPr>
        <w:r>
          <w:fldChar w:fldCharType="begin"/>
        </w:r>
        <w:r>
          <w:instrText xml:space="preserve"> PAGE   \* MERGEFORMAT </w:instrText>
        </w:r>
        <w:r>
          <w:fldChar w:fldCharType="separate"/>
        </w:r>
        <w:r w:rsidR="001B75D0">
          <w:rPr>
            <w:noProof/>
          </w:rPr>
          <w:t>101</w:t>
        </w:r>
        <w:r>
          <w:rPr>
            <w:noProof/>
          </w:rPr>
          <w:fldChar w:fldCharType="end"/>
        </w:r>
      </w:p>
    </w:sdtContent>
  </w:sdt>
  <w:p w14:paraId="328947EF" w14:textId="77777777" w:rsidR="001B75D0" w:rsidRDefault="001B75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DB29E" w14:textId="77777777" w:rsidR="001B75D0" w:rsidRDefault="000E0B95"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14:paraId="1999F898" w14:textId="77777777" w:rsidR="001B75D0" w:rsidRDefault="001B75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1896E" w14:textId="77777777"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2258E" w14:textId="77777777" w:rsidR="00755C70" w:rsidRDefault="00755C70">
      <w:r>
        <w:separator/>
      </w:r>
    </w:p>
  </w:footnote>
  <w:footnote w:type="continuationSeparator" w:id="0">
    <w:p w14:paraId="14A9FA45" w14:textId="77777777" w:rsidR="00755C70" w:rsidRDefault="00755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4779B" w14:textId="77777777"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2E43A" w14:textId="77777777" w:rsidR="001B75D0" w:rsidRPr="0030472C" w:rsidRDefault="001B75D0">
    <w:pPr>
      <w:pStyle w:val="Nagwek"/>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15:restartNumberingAfterBreak="0">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15:restartNumberingAfterBreak="0">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15:restartNumberingAfterBreak="0">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15:restartNumberingAfterBreak="0">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996DCA"/>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15:restartNumberingAfterBreak="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15:restartNumberingAfterBreak="0">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15:restartNumberingAfterBreak="0">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15:restartNumberingAfterBreak="0">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15:restartNumberingAfterBreak="0">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61048080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94366792">
    <w:abstractNumId w:val="27"/>
  </w:num>
  <w:num w:numId="3" w16cid:durableId="352734807">
    <w:abstractNumId w:val="37"/>
  </w:num>
  <w:num w:numId="4" w16cid:durableId="1876889076">
    <w:abstractNumId w:val="23"/>
  </w:num>
  <w:num w:numId="5" w16cid:durableId="740324294">
    <w:abstractNumId w:val="11"/>
  </w:num>
  <w:num w:numId="6" w16cid:durableId="1434983612">
    <w:abstractNumId w:val="20"/>
  </w:num>
  <w:num w:numId="7" w16cid:durableId="1208638072">
    <w:abstractNumId w:val="17"/>
  </w:num>
  <w:num w:numId="8" w16cid:durableId="1210604947">
    <w:abstractNumId w:val="39"/>
  </w:num>
  <w:num w:numId="9" w16cid:durableId="1052727476">
    <w:abstractNumId w:val="7"/>
  </w:num>
  <w:num w:numId="10" w16cid:durableId="1868374456">
    <w:abstractNumId w:val="25"/>
  </w:num>
  <w:num w:numId="11" w16cid:durableId="103119772">
    <w:abstractNumId w:val="41"/>
  </w:num>
  <w:num w:numId="12" w16cid:durableId="2096050471">
    <w:abstractNumId w:val="21"/>
  </w:num>
  <w:num w:numId="13" w16cid:durableId="520046077">
    <w:abstractNumId w:val="6"/>
  </w:num>
  <w:num w:numId="14" w16cid:durableId="1939018590">
    <w:abstractNumId w:val="28"/>
  </w:num>
  <w:num w:numId="15" w16cid:durableId="1644385774">
    <w:abstractNumId w:val="10"/>
  </w:num>
  <w:num w:numId="16" w16cid:durableId="2092966845">
    <w:abstractNumId w:val="1"/>
  </w:num>
  <w:num w:numId="17" w16cid:durableId="2014062168">
    <w:abstractNumId w:val="34"/>
  </w:num>
  <w:num w:numId="18" w16cid:durableId="1792822018">
    <w:abstractNumId w:val="36"/>
  </w:num>
  <w:num w:numId="19" w16cid:durableId="810253267">
    <w:abstractNumId w:val="13"/>
  </w:num>
  <w:num w:numId="20" w16cid:durableId="2021349208">
    <w:abstractNumId w:val="43"/>
  </w:num>
  <w:num w:numId="21" w16cid:durableId="431366207">
    <w:abstractNumId w:val="15"/>
  </w:num>
  <w:num w:numId="22" w16cid:durableId="1092239094">
    <w:abstractNumId w:val="22"/>
  </w:num>
  <w:num w:numId="23" w16cid:durableId="2025744216">
    <w:abstractNumId w:val="38"/>
  </w:num>
  <w:num w:numId="24" w16cid:durableId="424347134">
    <w:abstractNumId w:val="14"/>
  </w:num>
  <w:num w:numId="25" w16cid:durableId="1257131407">
    <w:abstractNumId w:val="5"/>
  </w:num>
  <w:num w:numId="26" w16cid:durableId="1906839892">
    <w:abstractNumId w:val="31"/>
  </w:num>
  <w:num w:numId="27" w16cid:durableId="1639266729">
    <w:abstractNumId w:val="40"/>
  </w:num>
  <w:num w:numId="28" w16cid:durableId="1953509595">
    <w:abstractNumId w:val="18"/>
  </w:num>
  <w:num w:numId="29" w16cid:durableId="1565337103">
    <w:abstractNumId w:val="12"/>
  </w:num>
  <w:num w:numId="30" w16cid:durableId="1865972691">
    <w:abstractNumId w:val="9"/>
  </w:num>
  <w:num w:numId="31" w16cid:durableId="1438599460">
    <w:abstractNumId w:val="26"/>
  </w:num>
  <w:num w:numId="32" w16cid:durableId="1685671640">
    <w:abstractNumId w:val="42"/>
  </w:num>
  <w:num w:numId="33" w16cid:durableId="676730780">
    <w:abstractNumId w:val="33"/>
  </w:num>
  <w:num w:numId="34" w16cid:durableId="8036225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16025350">
    <w:abstractNumId w:val="30"/>
  </w:num>
  <w:num w:numId="36" w16cid:durableId="801189782">
    <w:abstractNumId w:val="19"/>
  </w:num>
  <w:num w:numId="37" w16cid:durableId="1032800373">
    <w:abstractNumId w:val="16"/>
    <w:lvlOverride w:ilvl="0">
      <w:startOverride w:val="1"/>
    </w:lvlOverride>
  </w:num>
  <w:num w:numId="38" w16cid:durableId="91704185">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16cid:durableId="185876192">
    <w:abstractNumId w:val="4"/>
  </w:num>
  <w:num w:numId="40" w16cid:durableId="370303177">
    <w:abstractNumId w:val="8"/>
  </w:num>
  <w:num w:numId="41" w16cid:durableId="198974096">
    <w:abstractNumId w:val="29"/>
  </w:num>
  <w:num w:numId="42" w16cid:durableId="1217470258">
    <w:abstractNumId w:val="32"/>
  </w:num>
  <w:num w:numId="43" w16cid:durableId="1867523812">
    <w:abstractNumId w:val="2"/>
  </w:num>
  <w:num w:numId="44" w16cid:durableId="31465098">
    <w:abstractNumId w:val="35"/>
  </w:num>
  <w:num w:numId="45" w16cid:durableId="172378527">
    <w:abstractNumId w:val="3"/>
  </w:num>
  <w:num w:numId="46" w16cid:durableId="20178076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B64"/>
    <w:rsid w:val="000055FF"/>
    <w:rsid w:val="00017C4D"/>
    <w:rsid w:val="00022358"/>
    <w:rsid w:val="00023F36"/>
    <w:rsid w:val="000269C8"/>
    <w:rsid w:val="00031400"/>
    <w:rsid w:val="000333DF"/>
    <w:rsid w:val="00033486"/>
    <w:rsid w:val="00035335"/>
    <w:rsid w:val="00040C82"/>
    <w:rsid w:val="00042984"/>
    <w:rsid w:val="000433D0"/>
    <w:rsid w:val="00045394"/>
    <w:rsid w:val="000533D4"/>
    <w:rsid w:val="00065CFA"/>
    <w:rsid w:val="0007115C"/>
    <w:rsid w:val="00077F7B"/>
    <w:rsid w:val="00092C74"/>
    <w:rsid w:val="000B797D"/>
    <w:rsid w:val="000C1769"/>
    <w:rsid w:val="000C53C4"/>
    <w:rsid w:val="000E0B95"/>
    <w:rsid w:val="000E0EF4"/>
    <w:rsid w:val="000F2E34"/>
    <w:rsid w:val="000F4666"/>
    <w:rsid w:val="001206E1"/>
    <w:rsid w:val="0013627E"/>
    <w:rsid w:val="00137E0D"/>
    <w:rsid w:val="00144BFA"/>
    <w:rsid w:val="00154ED1"/>
    <w:rsid w:val="00155D3C"/>
    <w:rsid w:val="00157F89"/>
    <w:rsid w:val="00174131"/>
    <w:rsid w:val="00176691"/>
    <w:rsid w:val="00181986"/>
    <w:rsid w:val="00185B11"/>
    <w:rsid w:val="001A6DAB"/>
    <w:rsid w:val="001B2D1F"/>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A3BA2"/>
    <w:rsid w:val="002C0542"/>
    <w:rsid w:val="002C099E"/>
    <w:rsid w:val="002C1D2D"/>
    <w:rsid w:val="002C5FF3"/>
    <w:rsid w:val="002C7406"/>
    <w:rsid w:val="002C7CFD"/>
    <w:rsid w:val="002D25DD"/>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24F"/>
    <w:rsid w:val="00375D8D"/>
    <w:rsid w:val="0038654A"/>
    <w:rsid w:val="00392B18"/>
    <w:rsid w:val="003942AA"/>
    <w:rsid w:val="003A3695"/>
    <w:rsid w:val="003A55EF"/>
    <w:rsid w:val="003B4AD8"/>
    <w:rsid w:val="003C033A"/>
    <w:rsid w:val="003C04D0"/>
    <w:rsid w:val="003C7A8D"/>
    <w:rsid w:val="003C7E8D"/>
    <w:rsid w:val="003D3179"/>
    <w:rsid w:val="003D5FAE"/>
    <w:rsid w:val="003D7B77"/>
    <w:rsid w:val="003E2121"/>
    <w:rsid w:val="003E2ED8"/>
    <w:rsid w:val="003F4FED"/>
    <w:rsid w:val="003F6461"/>
    <w:rsid w:val="00405D37"/>
    <w:rsid w:val="004165C0"/>
    <w:rsid w:val="00423C14"/>
    <w:rsid w:val="00432295"/>
    <w:rsid w:val="004350FF"/>
    <w:rsid w:val="00447B3C"/>
    <w:rsid w:val="00453085"/>
    <w:rsid w:val="00455418"/>
    <w:rsid w:val="00455D2A"/>
    <w:rsid w:val="00460FC5"/>
    <w:rsid w:val="00464592"/>
    <w:rsid w:val="00470452"/>
    <w:rsid w:val="004A0B8A"/>
    <w:rsid w:val="004A1D2C"/>
    <w:rsid w:val="004A2951"/>
    <w:rsid w:val="004C31DE"/>
    <w:rsid w:val="004C3CDE"/>
    <w:rsid w:val="004C4044"/>
    <w:rsid w:val="004D3657"/>
    <w:rsid w:val="004D4E07"/>
    <w:rsid w:val="004F209E"/>
    <w:rsid w:val="004F5F77"/>
    <w:rsid w:val="004F7EF6"/>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61F0"/>
    <w:rsid w:val="005948F1"/>
    <w:rsid w:val="005A16DC"/>
    <w:rsid w:val="005B2596"/>
    <w:rsid w:val="005B5CAA"/>
    <w:rsid w:val="005D5C05"/>
    <w:rsid w:val="005E22A1"/>
    <w:rsid w:val="005E66A7"/>
    <w:rsid w:val="005F2A57"/>
    <w:rsid w:val="005F3BB3"/>
    <w:rsid w:val="005F4116"/>
    <w:rsid w:val="00607FE4"/>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45BDD"/>
    <w:rsid w:val="007524EE"/>
    <w:rsid w:val="00753715"/>
    <w:rsid w:val="00755C70"/>
    <w:rsid w:val="00757FCB"/>
    <w:rsid w:val="00770F23"/>
    <w:rsid w:val="00773D3E"/>
    <w:rsid w:val="00776189"/>
    <w:rsid w:val="007833E3"/>
    <w:rsid w:val="007C3F5B"/>
    <w:rsid w:val="007D0E39"/>
    <w:rsid w:val="007D1EE6"/>
    <w:rsid w:val="007D2651"/>
    <w:rsid w:val="007D6927"/>
    <w:rsid w:val="007E40AD"/>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0EB"/>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C2A8B"/>
    <w:rsid w:val="009D447F"/>
    <w:rsid w:val="009D77D0"/>
    <w:rsid w:val="009E5290"/>
    <w:rsid w:val="009E7ADB"/>
    <w:rsid w:val="00A0076F"/>
    <w:rsid w:val="00A02C82"/>
    <w:rsid w:val="00A233AE"/>
    <w:rsid w:val="00A3394D"/>
    <w:rsid w:val="00A33BF4"/>
    <w:rsid w:val="00A3761B"/>
    <w:rsid w:val="00A420AA"/>
    <w:rsid w:val="00A5171A"/>
    <w:rsid w:val="00A54DAB"/>
    <w:rsid w:val="00A67BC3"/>
    <w:rsid w:val="00AA6CB9"/>
    <w:rsid w:val="00AA78C5"/>
    <w:rsid w:val="00AC1272"/>
    <w:rsid w:val="00AC327D"/>
    <w:rsid w:val="00AC78BB"/>
    <w:rsid w:val="00AD51C3"/>
    <w:rsid w:val="00B00014"/>
    <w:rsid w:val="00B0131B"/>
    <w:rsid w:val="00B17BAF"/>
    <w:rsid w:val="00B2567C"/>
    <w:rsid w:val="00B32C49"/>
    <w:rsid w:val="00B46B64"/>
    <w:rsid w:val="00B60043"/>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D04C52"/>
    <w:rsid w:val="00D05911"/>
    <w:rsid w:val="00D16886"/>
    <w:rsid w:val="00D21CB1"/>
    <w:rsid w:val="00D2222E"/>
    <w:rsid w:val="00D365A8"/>
    <w:rsid w:val="00D45F9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283F"/>
    <w:rsid w:val="00E17B9B"/>
    <w:rsid w:val="00E23115"/>
    <w:rsid w:val="00E30FE7"/>
    <w:rsid w:val="00E31107"/>
    <w:rsid w:val="00E31156"/>
    <w:rsid w:val="00E345D4"/>
    <w:rsid w:val="00E52F33"/>
    <w:rsid w:val="00E6078F"/>
    <w:rsid w:val="00E709D6"/>
    <w:rsid w:val="00E7656D"/>
    <w:rsid w:val="00E8548F"/>
    <w:rsid w:val="00E90188"/>
    <w:rsid w:val="00EA6503"/>
    <w:rsid w:val="00EA7BB1"/>
    <w:rsid w:val="00ED68D8"/>
    <w:rsid w:val="00EE1FBA"/>
    <w:rsid w:val="00EE4F7B"/>
    <w:rsid w:val="00EF1B64"/>
    <w:rsid w:val="00F06757"/>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FDF9"/>
  <w15:docId w15:val="{F3E175AE-AD24-4376-8F26-1720C475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71C88-8C11-4BE2-BF8A-506F07A3C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23</Pages>
  <Words>4786</Words>
  <Characters>28719</Characters>
  <Application>Microsoft Office Word</Application>
  <DocSecurity>0</DocSecurity>
  <Lines>239</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Janusz Brzezicki</cp:lastModifiedBy>
  <cp:revision>20</cp:revision>
  <cp:lastPrinted>2017-12-15T12:26:00Z</cp:lastPrinted>
  <dcterms:created xsi:type="dcterms:W3CDTF">2017-12-15T11:28:00Z</dcterms:created>
  <dcterms:modified xsi:type="dcterms:W3CDTF">2025-11-22T17:44:00Z</dcterms:modified>
</cp:coreProperties>
</file>